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F0B3" w14:textId="77777777" w:rsidR="007E0043" w:rsidRDefault="007E0043" w:rsidP="007E0043">
      <w:bookmarkStart w:id="0" w:name="CopyToEndOfOIALetter"/>
      <w:r>
        <w:rPr>
          <w:rStyle w:val="GWPageName"/>
        </w:rPr>
        <w:t>Frequently asked questions – 2025/26 Annual Plan</w:t>
      </w:r>
      <w:r>
        <w:t xml:space="preserve"> </w:t>
      </w:r>
    </w:p>
    <w:p w14:paraId="2246FC1D" w14:textId="77777777" w:rsidR="007E0043" w:rsidRDefault="007E0043" w:rsidP="007E0043"/>
    <w:p w14:paraId="1842AC65" w14:textId="75CF2C95" w:rsidR="007E0043" w:rsidRDefault="007E0043" w:rsidP="007E0043">
      <w:r w:rsidRPr="05635FB2">
        <w:t>Here are some answers to some of the queries we frequently get asked.</w:t>
      </w:r>
    </w:p>
    <w:p w14:paraId="7AC0B351" w14:textId="77777777" w:rsidR="007E0043" w:rsidRDefault="007E0043" w:rsidP="007E0043"/>
    <w:tbl>
      <w:tblPr>
        <w:tblStyle w:val="TableGrid"/>
        <w:tblW w:w="0" w:type="auto"/>
        <w:tblLook w:val="04A0" w:firstRow="1" w:lastRow="0" w:firstColumn="1" w:lastColumn="0" w:noHBand="0" w:noVBand="1"/>
      </w:tblPr>
      <w:tblGrid>
        <w:gridCol w:w="2122"/>
        <w:gridCol w:w="7562"/>
      </w:tblGrid>
      <w:tr w:rsidR="007E0043" w:rsidRPr="001D505B" w14:paraId="0D2C5242" w14:textId="77777777" w:rsidTr="0021047A">
        <w:tc>
          <w:tcPr>
            <w:tcW w:w="9684" w:type="dxa"/>
            <w:gridSpan w:val="2"/>
            <w:shd w:val="clear" w:color="auto" w:fill="BFBFBF" w:themeFill="background2" w:themeFillShade="BF"/>
          </w:tcPr>
          <w:p w14:paraId="0A918F1F" w14:textId="77777777" w:rsidR="007E0043" w:rsidRPr="001D505B" w:rsidRDefault="007E0043" w:rsidP="0021047A">
            <w:r w:rsidRPr="001D505B">
              <w:t>Annual Plan Process</w:t>
            </w:r>
          </w:p>
        </w:tc>
      </w:tr>
      <w:tr w:rsidR="007E0043" w:rsidRPr="001D505B" w14:paraId="1AEC9FEF" w14:textId="77777777" w:rsidTr="0021047A">
        <w:tc>
          <w:tcPr>
            <w:tcW w:w="2122" w:type="dxa"/>
          </w:tcPr>
          <w:p w14:paraId="785C7814" w14:textId="77777777" w:rsidR="007E0043" w:rsidRPr="001D505B" w:rsidRDefault="007E0043" w:rsidP="0021047A">
            <w:r w:rsidRPr="001D505B">
              <w:t xml:space="preserve">What is an Annual Plan? </w:t>
            </w:r>
          </w:p>
        </w:tc>
        <w:tc>
          <w:tcPr>
            <w:tcW w:w="7562" w:type="dxa"/>
          </w:tcPr>
          <w:p w14:paraId="0E7789C2" w14:textId="77777777" w:rsidR="007E0043" w:rsidRPr="001D505B" w:rsidRDefault="007E0043" w:rsidP="0021047A">
            <w:r w:rsidRPr="05635FB2">
              <w:t xml:space="preserve">In the years in between </w:t>
            </w:r>
            <w:proofErr w:type="gramStart"/>
            <w:r w:rsidRPr="05635FB2">
              <w:t>Long Term</w:t>
            </w:r>
            <w:proofErr w:type="gramEnd"/>
            <w:r w:rsidRPr="05635FB2">
              <w:t xml:space="preserve"> Plans, we produce Annual Plans. Annual Plans keep our communities up to date with what we are doing over the next financial year and if it is different to what the </w:t>
            </w:r>
            <w:proofErr w:type="gramStart"/>
            <w:r w:rsidRPr="05635FB2">
              <w:t>Long Term</w:t>
            </w:r>
            <w:proofErr w:type="gramEnd"/>
            <w:r w:rsidRPr="05635FB2">
              <w:t xml:space="preserve"> Plan said we would do, how much it will cost, and how it will be funded.</w:t>
            </w:r>
          </w:p>
        </w:tc>
      </w:tr>
      <w:tr w:rsidR="007E0043" w:rsidRPr="001D505B" w14:paraId="19876F00" w14:textId="77777777" w:rsidTr="0021047A">
        <w:tc>
          <w:tcPr>
            <w:tcW w:w="2122" w:type="dxa"/>
          </w:tcPr>
          <w:p w14:paraId="02C0601B" w14:textId="77777777" w:rsidR="007E0043" w:rsidRPr="001D505B" w:rsidRDefault="007E0043" w:rsidP="0021047A">
            <w:r w:rsidRPr="05635FB2">
              <w:t xml:space="preserve">Why do we have Annual Plans as well as a </w:t>
            </w:r>
            <w:proofErr w:type="gramStart"/>
            <w:r w:rsidRPr="05635FB2">
              <w:t>Long Term</w:t>
            </w:r>
            <w:proofErr w:type="gramEnd"/>
            <w:r w:rsidRPr="05635FB2">
              <w:t xml:space="preserve"> Plan?</w:t>
            </w:r>
          </w:p>
        </w:tc>
        <w:tc>
          <w:tcPr>
            <w:tcW w:w="7562" w:type="dxa"/>
          </w:tcPr>
          <w:p w14:paraId="29339BD7" w14:textId="77777777" w:rsidR="007E0043" w:rsidRPr="001D505B" w:rsidRDefault="007E0043" w:rsidP="0021047A">
            <w:r w:rsidRPr="05635FB2">
              <w:t xml:space="preserve">Section 95 of the Local Government Act 2002 requires all Councils to prepare and adopt a Long Term Plan every three years and an Annual Plan for each financial year. </w:t>
            </w:r>
          </w:p>
          <w:p w14:paraId="3BEE4B25" w14:textId="77777777" w:rsidR="007E0043" w:rsidRPr="001D505B" w:rsidRDefault="007E0043" w:rsidP="0021047A"/>
          <w:p w14:paraId="3FC59239" w14:textId="77777777" w:rsidR="007E0043" w:rsidRPr="001D505B" w:rsidRDefault="007E0043" w:rsidP="0021047A">
            <w:r w:rsidRPr="05635FB2">
              <w:t xml:space="preserve">Note: The first year of a </w:t>
            </w:r>
            <w:proofErr w:type="gramStart"/>
            <w:r w:rsidRPr="05635FB2">
              <w:t>Long Term</w:t>
            </w:r>
            <w:proofErr w:type="gramEnd"/>
            <w:r w:rsidRPr="05635FB2">
              <w:t xml:space="preserve"> Plan is regarded as the Annual Plan for that year. For the second and third years of a Long Term Plan a separate Annual Plan is prepared</w:t>
            </w:r>
          </w:p>
        </w:tc>
      </w:tr>
      <w:tr w:rsidR="007E0043" w:rsidRPr="009D7C10" w14:paraId="0BC65059" w14:textId="77777777" w:rsidTr="0021047A">
        <w:tc>
          <w:tcPr>
            <w:tcW w:w="2122" w:type="dxa"/>
          </w:tcPr>
          <w:p w14:paraId="7BBA01C0" w14:textId="77777777" w:rsidR="007E0043" w:rsidRDefault="007E0043" w:rsidP="0021047A">
            <w:r w:rsidRPr="05635FB2">
              <w:t xml:space="preserve">Is Greater Wellington consulting on any changes this year? </w:t>
            </w:r>
          </w:p>
          <w:p w14:paraId="29E23024" w14:textId="77777777" w:rsidR="007E0043" w:rsidRDefault="007E0043" w:rsidP="0021047A"/>
          <w:p w14:paraId="655DA5A0" w14:textId="77777777" w:rsidR="007E0043" w:rsidRPr="001D505B" w:rsidRDefault="007E0043" w:rsidP="0021047A">
            <w:r>
              <w:t>W</w:t>
            </w:r>
            <w:r w:rsidRPr="05635FB2">
              <w:t>hy have we not been consulted this year?</w:t>
            </w:r>
          </w:p>
        </w:tc>
        <w:tc>
          <w:tcPr>
            <w:tcW w:w="7562" w:type="dxa"/>
          </w:tcPr>
          <w:p w14:paraId="54A7CF14" w14:textId="77777777" w:rsidR="007E0043" w:rsidRPr="009D7C10" w:rsidRDefault="007E0043" w:rsidP="0021047A">
            <w:r w:rsidRPr="009D7C10">
              <w:t>Greater Wellington is not consulting on anything related to the Annual Plan this year as we aren’t proposing anything significantly different</w:t>
            </w:r>
            <w:r w:rsidRPr="342C0ED9">
              <w:rPr>
                <w:rStyle w:val="FootnoteReference"/>
              </w:rPr>
              <w:footnoteReference w:id="1"/>
            </w:r>
            <w:r w:rsidRPr="009D7C10">
              <w:t xml:space="preserve"> to what we said we would do in the </w:t>
            </w:r>
            <w:proofErr w:type="gramStart"/>
            <w:r w:rsidRPr="009D7C10">
              <w:t>Long Term</w:t>
            </w:r>
            <w:proofErr w:type="gramEnd"/>
            <w:r w:rsidRPr="009D7C10">
              <w:t xml:space="preserve"> Plan for 2025/26 (Year 2). </w:t>
            </w:r>
          </w:p>
          <w:p w14:paraId="44C017F1" w14:textId="77777777" w:rsidR="007E0043" w:rsidRPr="009D7C10" w:rsidRDefault="007E0043" w:rsidP="0021047A"/>
          <w:p w14:paraId="1863650D" w14:textId="77777777" w:rsidR="007E0043" w:rsidRPr="00BC71E2" w:rsidRDefault="007E0043" w:rsidP="0021047A">
            <w:pPr>
              <w:rPr>
                <w:b/>
                <w:bCs/>
              </w:rPr>
            </w:pPr>
            <w:r w:rsidRPr="05635FB2">
              <w:rPr>
                <w:b/>
                <w:bCs/>
              </w:rPr>
              <w:t xml:space="preserve">Although we are not running a formal consultation on our Annual Plan this year, we wanted to make you aware of some of the proposed changes for Year Two that may be of interest to you, and </w:t>
            </w:r>
            <w:r w:rsidRPr="0085544C">
              <w:rPr>
                <w:b/>
                <w:bCs/>
              </w:rPr>
              <w:t xml:space="preserve">we are still interested in your feedback. Please visit </w:t>
            </w:r>
            <w:hyperlink r:id="rId12" w:tgtFrame="_blank" w:history="1">
              <w:r w:rsidRPr="0085544C">
                <w:rPr>
                  <w:rStyle w:val="Hyperlink"/>
                  <w:b/>
                  <w:bCs/>
                </w:rPr>
                <w:t>https://www.gw.govt.nz/2025-26-annual-plan</w:t>
              </w:r>
            </w:hyperlink>
            <w:r w:rsidRPr="0085544C">
              <w:rPr>
                <w:b/>
                <w:bCs/>
              </w:rPr>
              <w:t xml:space="preserve"> to learn more and share your thoughts.</w:t>
            </w:r>
          </w:p>
          <w:p w14:paraId="382857CC" w14:textId="77777777" w:rsidR="007E0043" w:rsidRPr="00BC71E2" w:rsidRDefault="007E0043" w:rsidP="0021047A">
            <w:pPr>
              <w:rPr>
                <w:b/>
                <w:bCs/>
              </w:rPr>
            </w:pPr>
          </w:p>
          <w:p w14:paraId="7EBD1029" w14:textId="77777777" w:rsidR="007E0043" w:rsidRDefault="007E0043" w:rsidP="0021047A">
            <w:pPr>
              <w:rPr>
                <w:b/>
                <w:bCs/>
              </w:rPr>
            </w:pPr>
            <w:r w:rsidRPr="208188A1">
              <w:rPr>
                <w:b/>
                <w:bCs/>
              </w:rPr>
              <w:t>This year Greater Wellington is consulting on the Regional Public Transport Plan and Local Water Done Well. Please visit the following links to find out more and share your thoughts.</w:t>
            </w:r>
            <w:r>
              <w:t xml:space="preserve">  </w:t>
            </w:r>
          </w:p>
          <w:p w14:paraId="3621FA0B" w14:textId="77777777" w:rsidR="007E0043" w:rsidRDefault="007E0043" w:rsidP="0021047A">
            <w:pPr>
              <w:rPr>
                <w:b/>
                <w:bCs/>
              </w:rPr>
            </w:pPr>
          </w:p>
          <w:p w14:paraId="5082494B" w14:textId="77777777" w:rsidR="007E0043" w:rsidRDefault="007E0043" w:rsidP="0021047A">
            <w:pPr>
              <w:rPr>
                <w:b/>
                <w:bCs/>
              </w:rPr>
            </w:pPr>
            <w:r>
              <w:rPr>
                <w:b/>
                <w:bCs/>
              </w:rPr>
              <w:t xml:space="preserve">Regional Public Transport Plan: </w:t>
            </w:r>
          </w:p>
          <w:p w14:paraId="31429F29" w14:textId="77777777" w:rsidR="007E0043" w:rsidRDefault="007E0043" w:rsidP="0021047A">
            <w:pPr>
              <w:rPr>
                <w:b/>
                <w:bCs/>
              </w:rPr>
            </w:pPr>
            <w:hyperlink r:id="rId13" w:history="1">
              <w:r w:rsidRPr="00665387">
                <w:rPr>
                  <w:rStyle w:val="Hyperlink"/>
                  <w:b/>
                  <w:bCs/>
                </w:rPr>
                <w:t>https://haveyoursay.gw.govt.nz/regional-public-transport-plan-2025-2035-consultation</w:t>
              </w:r>
            </w:hyperlink>
            <w:r>
              <w:rPr>
                <w:b/>
                <w:bCs/>
              </w:rPr>
              <w:t xml:space="preserve"> </w:t>
            </w:r>
          </w:p>
          <w:p w14:paraId="63E0A45C" w14:textId="77777777" w:rsidR="007E0043" w:rsidRDefault="007E0043" w:rsidP="0021047A">
            <w:pPr>
              <w:rPr>
                <w:b/>
                <w:bCs/>
              </w:rPr>
            </w:pPr>
          </w:p>
          <w:p w14:paraId="3C0E4DAA" w14:textId="77777777" w:rsidR="007E0043" w:rsidRPr="009D7C10" w:rsidRDefault="007E0043" w:rsidP="0021047A">
            <w:r>
              <w:rPr>
                <w:b/>
                <w:bCs/>
              </w:rPr>
              <w:t xml:space="preserve">Local Water Done Well (opens mid-March): </w:t>
            </w:r>
            <w:hyperlink r:id="rId14" w:history="1">
              <w:r w:rsidRPr="00665387">
                <w:rPr>
                  <w:rStyle w:val="Hyperlink"/>
                  <w:b/>
                  <w:bCs/>
                </w:rPr>
                <w:t>https://www.gw.govt.nz/environment/freshwater/%20local-water-done-well/</w:t>
              </w:r>
            </w:hyperlink>
            <w:r>
              <w:rPr>
                <w:b/>
                <w:bCs/>
              </w:rPr>
              <w:t xml:space="preserve"> </w:t>
            </w:r>
          </w:p>
        </w:tc>
      </w:tr>
    </w:tbl>
    <w:p w14:paraId="2BE5F29D" w14:textId="77777777" w:rsidR="007E0043" w:rsidRDefault="007E0043" w:rsidP="007E0043"/>
    <w:tbl>
      <w:tblPr>
        <w:tblStyle w:val="TableGrid"/>
        <w:tblW w:w="0" w:type="auto"/>
        <w:tblLook w:val="04A0" w:firstRow="1" w:lastRow="0" w:firstColumn="1" w:lastColumn="0" w:noHBand="0" w:noVBand="1"/>
      </w:tblPr>
      <w:tblGrid>
        <w:gridCol w:w="2112"/>
        <w:gridCol w:w="7572"/>
      </w:tblGrid>
      <w:tr w:rsidR="007E0043" w14:paraId="5793D740" w14:textId="77777777" w:rsidTr="0021047A">
        <w:tc>
          <w:tcPr>
            <w:tcW w:w="2122" w:type="dxa"/>
          </w:tcPr>
          <w:p w14:paraId="6D727781" w14:textId="77777777" w:rsidR="007E0043" w:rsidRPr="00456E42" w:rsidRDefault="007E0043" w:rsidP="0021047A">
            <w:r>
              <w:lastRenderedPageBreak/>
              <w:t xml:space="preserve">Are there any proposed changes planned to the work programme in the Annual Plan for 2025/26? </w:t>
            </w:r>
          </w:p>
          <w:p w14:paraId="5B5F8B58" w14:textId="77777777" w:rsidR="007E0043" w:rsidRPr="001D505B" w:rsidRDefault="007E0043" w:rsidP="0021047A"/>
        </w:tc>
        <w:tc>
          <w:tcPr>
            <w:tcW w:w="7562" w:type="dxa"/>
          </w:tcPr>
          <w:p w14:paraId="7B7195FE" w14:textId="77777777" w:rsidR="007E0043" w:rsidRDefault="007E0043" w:rsidP="0021047A">
            <w:r w:rsidRPr="05635FB2">
              <w:t>There are no significant or material changes planned for our work programme for 202</w:t>
            </w:r>
            <w:r>
              <w:t>5</w:t>
            </w:r>
            <w:r w:rsidRPr="05635FB2">
              <w:t>/2</w:t>
            </w:r>
            <w:r>
              <w:t>6</w:t>
            </w:r>
            <w:r w:rsidRPr="05635FB2">
              <w:t xml:space="preserve"> from what we set out in our 2024-34 Long Term Plan that required a formal consultation. This was determined using our current significance and engagement policy </w:t>
            </w:r>
            <w:hyperlink r:id="rId15" w:anchor=":~:text=The%20Significance%20and%20Engagement%20Policy%20records%20how%20we,specifically%20consulted%20on%2C%20proposals%2C%20assets%2C%20decisions%20and%20activities.">
              <w:r w:rsidRPr="05635FB2">
                <w:rPr>
                  <w:rStyle w:val="Hyperlink"/>
                </w:rPr>
                <w:t>Greater Wellington Regional Council — Supporting strategies and policies</w:t>
              </w:r>
            </w:hyperlink>
            <w:r w:rsidRPr="05635FB2">
              <w:t xml:space="preserve">. </w:t>
            </w:r>
          </w:p>
          <w:p w14:paraId="4F94281C" w14:textId="77777777" w:rsidR="007E0043" w:rsidRPr="00456E42" w:rsidRDefault="007E0043" w:rsidP="0021047A"/>
          <w:p w14:paraId="01D39750" w14:textId="77777777" w:rsidR="007E0043" w:rsidRDefault="007E0043" w:rsidP="0021047A">
            <w:pPr>
              <w:spacing w:line="259" w:lineRule="auto"/>
            </w:pPr>
            <w:r>
              <w:t xml:space="preserve">However, we recognize that the current cost of living is impacting communities across our region. In response, we have undertaken a significant amount of work to assess our work programmes and are proposing to </w:t>
            </w:r>
            <w:r w:rsidRPr="208188A1">
              <w:rPr>
                <w:rFonts w:eastAsia="Aptos" w:cs="Aptos"/>
                <w:color w:val="000000" w:themeColor="text1"/>
                <w:lang w:val="en-US"/>
              </w:rPr>
              <w:t>either delay or scale back activities in certain areas</w:t>
            </w:r>
            <w:r>
              <w:t xml:space="preserve"> to lower the rates increase to reduce financial pressures. You can read about these changes and share your thoughts with us at </w:t>
            </w:r>
            <w:hyperlink r:id="rId16">
              <w:r w:rsidRPr="208188A1">
                <w:rPr>
                  <w:rStyle w:val="Hyperlink"/>
                </w:rPr>
                <w:t>https://www.gw.govt.nz/2025-26-annual-plan</w:t>
              </w:r>
            </w:hyperlink>
            <w:r>
              <w:t xml:space="preserve"> </w:t>
            </w:r>
          </w:p>
          <w:p w14:paraId="2D608313" w14:textId="77777777" w:rsidR="007E0043" w:rsidRDefault="007E0043" w:rsidP="0021047A">
            <w:pPr>
              <w:spacing w:line="259" w:lineRule="auto"/>
            </w:pPr>
          </w:p>
          <w:p w14:paraId="6A912D6B" w14:textId="77777777" w:rsidR="007E0043" w:rsidRPr="00863435" w:rsidRDefault="007E0043" w:rsidP="0021047A">
            <w:pPr>
              <w:spacing w:line="259" w:lineRule="auto"/>
              <w:rPr>
                <w:b/>
                <w:bCs/>
                <w:u w:val="single"/>
              </w:rPr>
            </w:pPr>
            <w:r w:rsidRPr="00863435">
              <w:rPr>
                <w:b/>
                <w:bCs/>
                <w:u w:val="single"/>
              </w:rPr>
              <w:t xml:space="preserve">The main changes include: </w:t>
            </w:r>
          </w:p>
          <w:p w14:paraId="5E885795" w14:textId="77777777" w:rsidR="007E0043" w:rsidRDefault="007E0043" w:rsidP="0021047A">
            <w:pPr>
              <w:spacing w:line="259" w:lineRule="auto"/>
            </w:pPr>
          </w:p>
          <w:p w14:paraId="2F94D6AE" w14:textId="77777777" w:rsidR="007E0043" w:rsidRPr="00F37612" w:rsidRDefault="007E0043" w:rsidP="0021047A">
            <w:pPr>
              <w:spacing w:line="259" w:lineRule="auto"/>
            </w:pPr>
            <w:proofErr w:type="spellStart"/>
            <w:r w:rsidRPr="00F37612">
              <w:rPr>
                <w:b/>
                <w:bCs/>
                <w:i/>
                <w:iCs/>
              </w:rPr>
              <w:t>Ngā</w:t>
            </w:r>
            <w:proofErr w:type="spellEnd"/>
            <w:r w:rsidRPr="00F37612">
              <w:rPr>
                <w:b/>
                <w:bCs/>
                <w:i/>
                <w:iCs/>
              </w:rPr>
              <w:t xml:space="preserve"> Waka </w:t>
            </w:r>
            <w:proofErr w:type="spellStart"/>
            <w:r w:rsidRPr="00F37612">
              <w:rPr>
                <w:b/>
                <w:bCs/>
                <w:i/>
                <w:iCs/>
              </w:rPr>
              <w:t>Tūmatanui</w:t>
            </w:r>
            <w:proofErr w:type="spellEnd"/>
            <w:r w:rsidRPr="00F37612">
              <w:rPr>
                <w:b/>
                <w:bCs/>
                <w:i/>
                <w:iCs/>
              </w:rPr>
              <w:t xml:space="preserve"> – Metlink Public Transport </w:t>
            </w:r>
          </w:p>
          <w:p w14:paraId="7BFCAC18" w14:textId="77777777" w:rsidR="007E0043" w:rsidRPr="00F37612" w:rsidRDefault="007E0043" w:rsidP="0024307F">
            <w:pPr>
              <w:pStyle w:val="ListParagraph"/>
              <w:numPr>
                <w:ilvl w:val="0"/>
                <w:numId w:val="23"/>
              </w:numPr>
              <w:spacing w:line="259" w:lineRule="auto"/>
            </w:pPr>
            <w:r w:rsidRPr="00F37612">
              <w:t xml:space="preserve">Reducing the number of </w:t>
            </w:r>
            <w:proofErr w:type="gramStart"/>
            <w:r w:rsidRPr="00F37612">
              <w:t>buses</w:t>
            </w:r>
            <w:proofErr w:type="gramEnd"/>
            <w:r w:rsidRPr="00F37612">
              <w:t xml:space="preserve"> we order to simply meet expected patronage demand across the Region. </w:t>
            </w:r>
          </w:p>
          <w:p w14:paraId="27632196" w14:textId="77777777" w:rsidR="007E0043" w:rsidRPr="00F37612" w:rsidRDefault="007E0043" w:rsidP="0024307F">
            <w:pPr>
              <w:pStyle w:val="ListParagraph"/>
              <w:numPr>
                <w:ilvl w:val="0"/>
                <w:numId w:val="23"/>
              </w:numPr>
              <w:spacing w:line="259" w:lineRule="auto"/>
            </w:pPr>
            <w:proofErr w:type="gramStart"/>
            <w:r w:rsidRPr="00F37612">
              <w:t>A general fares</w:t>
            </w:r>
            <w:proofErr w:type="gramEnd"/>
            <w:r w:rsidRPr="00F37612">
              <w:t xml:space="preserve"> increase to reflect inflation levels and change in the off-peak fare discount reduction from 50% to 30% (subject to confirmation by Council). </w:t>
            </w:r>
          </w:p>
          <w:p w14:paraId="210C3D8D" w14:textId="77777777" w:rsidR="007E0043" w:rsidRPr="00F37612" w:rsidRDefault="007E0043" w:rsidP="0024307F">
            <w:pPr>
              <w:pStyle w:val="ListParagraph"/>
              <w:numPr>
                <w:ilvl w:val="0"/>
                <w:numId w:val="23"/>
              </w:numPr>
              <w:spacing w:line="259" w:lineRule="auto"/>
            </w:pPr>
            <w:r w:rsidRPr="00F37612">
              <w:t xml:space="preserve">Deferring a project to develop bus interchange and driver facilities in Porirua. </w:t>
            </w:r>
          </w:p>
          <w:p w14:paraId="6DA21DB1" w14:textId="77777777" w:rsidR="007E0043" w:rsidRPr="00F37612" w:rsidRDefault="007E0043" w:rsidP="0024307F">
            <w:pPr>
              <w:pStyle w:val="ListParagraph"/>
              <w:numPr>
                <w:ilvl w:val="0"/>
                <w:numId w:val="23"/>
              </w:numPr>
              <w:spacing w:line="259" w:lineRule="auto"/>
            </w:pPr>
            <w:r w:rsidRPr="00F37612">
              <w:t xml:space="preserve">Our bus network design and service levels will be considered as part of the review of the Wellington Regional Public Transport Plan, which is being consulted on during March 2025 with hearings scheduled for 5 to 7 May 2025. Visit </w:t>
            </w:r>
            <w:hyperlink r:id="rId17" w:history="1">
              <w:r w:rsidRPr="00E9438B">
                <w:rPr>
                  <w:rStyle w:val="Hyperlink"/>
                </w:rPr>
                <w:t>https://haveyoursay.gw.govt.nz/regional-public-transport-plan-2025-2035-consultation</w:t>
              </w:r>
            </w:hyperlink>
            <w:r w:rsidRPr="0024307F">
              <w:rPr>
                <w:b/>
                <w:bCs/>
                <w:u w:val="single"/>
              </w:rPr>
              <w:t xml:space="preserve"> </w:t>
            </w:r>
          </w:p>
          <w:p w14:paraId="7F59F679" w14:textId="77777777" w:rsidR="007E0043" w:rsidRPr="00F37612" w:rsidRDefault="007E0043" w:rsidP="0021047A">
            <w:pPr>
              <w:spacing w:line="259" w:lineRule="auto"/>
            </w:pPr>
            <w:r w:rsidRPr="00F37612">
              <w:rPr>
                <w:b/>
                <w:bCs/>
                <w:i/>
                <w:iCs/>
              </w:rPr>
              <w:t xml:space="preserve">Te Taiao - Environment </w:t>
            </w:r>
          </w:p>
          <w:p w14:paraId="395184CE" w14:textId="77777777" w:rsidR="007E0043" w:rsidRPr="00F37612" w:rsidRDefault="007E0043" w:rsidP="0024307F">
            <w:pPr>
              <w:pStyle w:val="ListParagraph"/>
              <w:numPr>
                <w:ilvl w:val="0"/>
                <w:numId w:val="24"/>
              </w:numPr>
              <w:spacing w:line="259" w:lineRule="auto"/>
            </w:pPr>
            <w:r w:rsidRPr="00F37612">
              <w:t xml:space="preserve">Rephasing funding to undertake </w:t>
            </w:r>
            <w:proofErr w:type="gramStart"/>
            <w:r w:rsidRPr="00F37612">
              <w:t>future plan</w:t>
            </w:r>
            <w:proofErr w:type="gramEnd"/>
            <w:r w:rsidRPr="00F37612">
              <w:t xml:space="preserve"> changes until the new National Policy Statement for Freshwater Management is operative or 31 December 2025 (whichever is sooner), as a result of central government direction. We know the health of our </w:t>
            </w:r>
            <w:proofErr w:type="spellStart"/>
            <w:r w:rsidRPr="00F37612">
              <w:t>wai</w:t>
            </w:r>
            <w:proofErr w:type="spellEnd"/>
            <w:r w:rsidRPr="00F37612">
              <w:t xml:space="preserve"> is important to our mana whenua partners and communities so we will focus on working together on the non-</w:t>
            </w:r>
            <w:r w:rsidRPr="00F37612">
              <w:lastRenderedPageBreak/>
              <w:t xml:space="preserve">regulatory activities in the meantime to continue momentum in this space. </w:t>
            </w:r>
          </w:p>
          <w:p w14:paraId="0760AEA0" w14:textId="77777777" w:rsidR="007E0043" w:rsidRPr="00F37612" w:rsidRDefault="007E0043" w:rsidP="0024307F">
            <w:pPr>
              <w:pStyle w:val="ListParagraph"/>
              <w:numPr>
                <w:ilvl w:val="0"/>
                <w:numId w:val="24"/>
              </w:numPr>
              <w:spacing w:line="259" w:lineRule="auto"/>
            </w:pPr>
            <w:r w:rsidRPr="00F37612">
              <w:t xml:space="preserve">Pushing back the timeframes for non-critical erosion protection projects in </w:t>
            </w:r>
            <w:proofErr w:type="spellStart"/>
            <w:r w:rsidRPr="00F37612">
              <w:t>Pinehaven</w:t>
            </w:r>
            <w:proofErr w:type="spellEnd"/>
            <w:r w:rsidRPr="00F37612">
              <w:t xml:space="preserve"> and </w:t>
            </w:r>
            <w:proofErr w:type="spellStart"/>
            <w:r w:rsidRPr="00F37612">
              <w:t>Waiohine</w:t>
            </w:r>
            <w:proofErr w:type="spellEnd"/>
            <w:r w:rsidRPr="00F37612">
              <w:t xml:space="preserve"> by 12 months. </w:t>
            </w:r>
          </w:p>
          <w:p w14:paraId="2317F729" w14:textId="77777777" w:rsidR="007E0043" w:rsidRPr="00F37612" w:rsidRDefault="007E0043" w:rsidP="0021047A">
            <w:pPr>
              <w:spacing w:line="259" w:lineRule="auto"/>
            </w:pPr>
          </w:p>
          <w:p w14:paraId="69719ADC" w14:textId="77777777" w:rsidR="007E0043" w:rsidRPr="00F37612" w:rsidRDefault="007E0043" w:rsidP="0021047A">
            <w:pPr>
              <w:spacing w:line="259" w:lineRule="auto"/>
            </w:pPr>
            <w:r w:rsidRPr="00F37612">
              <w:rPr>
                <w:b/>
                <w:bCs/>
                <w:i/>
                <w:iCs/>
              </w:rPr>
              <w:t xml:space="preserve">Staffing </w:t>
            </w:r>
          </w:p>
          <w:p w14:paraId="464EE840" w14:textId="77777777" w:rsidR="007E0043" w:rsidRDefault="007E0043" w:rsidP="0024307F">
            <w:pPr>
              <w:pStyle w:val="ListParagraph"/>
              <w:numPr>
                <w:ilvl w:val="0"/>
                <w:numId w:val="25"/>
              </w:numPr>
              <w:spacing w:line="259" w:lineRule="auto"/>
            </w:pPr>
            <w:r w:rsidRPr="00F37612">
              <w:t xml:space="preserve">Delaying recruitment of </w:t>
            </w:r>
            <w:proofErr w:type="gramStart"/>
            <w:r w:rsidRPr="00F37612">
              <w:t>a number of</w:t>
            </w:r>
            <w:proofErr w:type="gramEnd"/>
            <w:r w:rsidRPr="00F37612">
              <w:t xml:space="preserve"> vacant or new positions. </w:t>
            </w:r>
          </w:p>
          <w:p w14:paraId="5C30C287" w14:textId="77777777" w:rsidR="007E0043" w:rsidRDefault="007E0043" w:rsidP="0021047A">
            <w:pPr>
              <w:spacing w:line="259" w:lineRule="auto"/>
            </w:pPr>
          </w:p>
          <w:p w14:paraId="55A3A8BB" w14:textId="77777777" w:rsidR="007E0043" w:rsidRPr="00863435" w:rsidRDefault="007E0043" w:rsidP="0021047A">
            <w:pPr>
              <w:spacing w:line="259" w:lineRule="auto"/>
              <w:rPr>
                <w:b/>
                <w:bCs/>
                <w:u w:val="single"/>
              </w:rPr>
            </w:pPr>
            <w:r w:rsidRPr="00863435">
              <w:rPr>
                <w:b/>
                <w:bCs/>
                <w:u w:val="single"/>
              </w:rPr>
              <w:t xml:space="preserve">Theres some extra things we need to do as well </w:t>
            </w:r>
          </w:p>
          <w:p w14:paraId="028CF929" w14:textId="77777777" w:rsidR="007E0043" w:rsidRDefault="007E0043" w:rsidP="0021047A">
            <w:pPr>
              <w:spacing w:line="259" w:lineRule="auto"/>
            </w:pPr>
          </w:p>
          <w:p w14:paraId="753F4A98" w14:textId="77777777" w:rsidR="007E0043" w:rsidRDefault="007E0043" w:rsidP="0021047A">
            <w:pPr>
              <w:spacing w:line="259" w:lineRule="auto"/>
            </w:pPr>
            <w:r>
              <w:t xml:space="preserve">There are a few things that we had to add to our work programme for 2025/26 that are either new, or we did not have enough information about during the development of our </w:t>
            </w:r>
            <w:proofErr w:type="gramStart"/>
            <w:r>
              <w:t>Long Term</w:t>
            </w:r>
            <w:proofErr w:type="gramEnd"/>
            <w:r>
              <w:t xml:space="preserve"> Plan to include them at the time. </w:t>
            </w:r>
          </w:p>
          <w:p w14:paraId="181DABF9" w14:textId="77777777" w:rsidR="007E0043" w:rsidRDefault="007E0043" w:rsidP="0024307F">
            <w:pPr>
              <w:pStyle w:val="ListParagraph"/>
              <w:numPr>
                <w:ilvl w:val="0"/>
                <w:numId w:val="25"/>
              </w:numPr>
              <w:spacing w:line="259" w:lineRule="auto"/>
            </w:pPr>
            <w:r>
              <w:t xml:space="preserve">Māori Constituency Referendum: During 2024, Council affirmed its resolution to establish a Māori Constituency for the 2025 and 2028 triennial local elections. As a result of central government legislation2 Greater Wellington must conduct a poll about this during the 2025 triennial local elections. The outcome of the poll will be effective for the 2028 and 2031 triennial local elections. </w:t>
            </w:r>
          </w:p>
          <w:p w14:paraId="455B3883" w14:textId="77777777" w:rsidR="007E0043" w:rsidRPr="001D505B" w:rsidRDefault="007E0043" w:rsidP="0024307F">
            <w:pPr>
              <w:pStyle w:val="ListParagraph"/>
              <w:numPr>
                <w:ilvl w:val="0"/>
                <w:numId w:val="25"/>
              </w:numPr>
              <w:spacing w:line="259" w:lineRule="auto"/>
            </w:pPr>
            <w:r>
              <w:t xml:space="preserve">Local Water Done Well: Greater Wellington has obligations because of new central government water legislation3 to submit a plan to the Department of Internal Affairs regarding the future of bulk water services provision for the region by 3 September 2025. We will be working hard to meet this deadline and ensure that the community has an opportunity to have their say on what water services look like in the future. For more information and to have your say visit </w:t>
            </w:r>
            <w:hyperlink r:id="rId18" w:history="1">
              <w:r w:rsidRPr="0023258D">
                <w:rPr>
                  <w:rStyle w:val="Hyperlink"/>
                </w:rPr>
                <w:t>https://www.gw.govt.nz/environment/%20freshwater/local-water-done-well/</w:t>
              </w:r>
            </w:hyperlink>
            <w:r w:rsidRPr="0024307F">
              <w:rPr>
                <w:b/>
                <w:bCs/>
                <w:u w:val="single"/>
              </w:rPr>
              <w:t xml:space="preserve"> </w:t>
            </w:r>
          </w:p>
        </w:tc>
      </w:tr>
      <w:tr w:rsidR="007E0043" w14:paraId="1916DCAB" w14:textId="77777777" w:rsidTr="0021047A">
        <w:tc>
          <w:tcPr>
            <w:tcW w:w="9684" w:type="dxa"/>
            <w:gridSpan w:val="2"/>
            <w:shd w:val="clear" w:color="auto" w:fill="BFBFBF" w:themeFill="background2" w:themeFillShade="BF"/>
          </w:tcPr>
          <w:p w14:paraId="5DB58E09" w14:textId="77777777" w:rsidR="007E0043" w:rsidRPr="001D505B" w:rsidRDefault="007E0043" w:rsidP="0021047A">
            <w:r>
              <w:lastRenderedPageBreak/>
              <w:t>Rates</w:t>
            </w:r>
          </w:p>
        </w:tc>
      </w:tr>
      <w:tr w:rsidR="007E0043" w14:paraId="776570B2" w14:textId="77777777" w:rsidTr="0021047A">
        <w:tc>
          <w:tcPr>
            <w:tcW w:w="2122" w:type="dxa"/>
          </w:tcPr>
          <w:p w14:paraId="1D1C4718" w14:textId="77777777" w:rsidR="007E0043" w:rsidRDefault="007E0043" w:rsidP="0021047A">
            <w:r w:rsidRPr="001977F2">
              <w:t xml:space="preserve">What will my rates increase be for 2025/26? </w:t>
            </w:r>
          </w:p>
          <w:p w14:paraId="60E01552" w14:textId="77777777" w:rsidR="007E0043" w:rsidRDefault="007E0043" w:rsidP="0021047A"/>
          <w:p w14:paraId="0F9ECE13" w14:textId="77777777" w:rsidR="007E0043" w:rsidRPr="001977F2" w:rsidRDefault="007E0043" w:rsidP="0021047A">
            <w:r w:rsidRPr="001977F2">
              <w:lastRenderedPageBreak/>
              <w:t>What is the 9.72% increase in dollar value?</w:t>
            </w:r>
          </w:p>
        </w:tc>
        <w:tc>
          <w:tcPr>
            <w:tcW w:w="7562" w:type="dxa"/>
          </w:tcPr>
          <w:p w14:paraId="5A5455DD" w14:textId="77777777" w:rsidR="007E0043" w:rsidRPr="001977F2" w:rsidRDefault="007E0043" w:rsidP="0021047A">
            <w:pPr>
              <w:rPr>
                <w:rFonts w:eastAsia="Aptos" w:cs="Aptos"/>
                <w:color w:val="000000" w:themeColor="text1"/>
                <w:szCs w:val="24"/>
                <w:lang w:val="en-US"/>
              </w:rPr>
            </w:pPr>
            <w:r w:rsidRPr="001977F2">
              <w:rPr>
                <w:rFonts w:eastAsia="Aptos" w:cs="Aptos"/>
                <w:color w:val="000000" w:themeColor="text1"/>
                <w:szCs w:val="24"/>
                <w:lang w:val="en-US"/>
              </w:rPr>
              <w:lastRenderedPageBreak/>
              <w:t xml:space="preserve">Rates help fund essential services and projects </w:t>
            </w:r>
            <w:r>
              <w:rPr>
                <w:rFonts w:eastAsia="Aptos" w:cs="Aptos"/>
                <w:color w:val="000000" w:themeColor="text1"/>
                <w:szCs w:val="24"/>
                <w:lang w:val="en-US"/>
              </w:rPr>
              <w:t>agreed in</w:t>
            </w:r>
            <w:r w:rsidRPr="001977F2">
              <w:rPr>
                <w:rFonts w:eastAsia="Aptos" w:cs="Aptos"/>
                <w:color w:val="000000" w:themeColor="text1"/>
                <w:szCs w:val="24"/>
                <w:lang w:val="en-US"/>
              </w:rPr>
              <w:t xml:space="preserve"> the 2024-34 Long Term Plan. While inflation and borrowing costs appear to be easing for 2025/26, we continue to face new challenges including reduced government funding and ongoing cost-of-living pressures. To balance essential services within a tight budget, we have reviewed our </w:t>
            </w:r>
            <w:r w:rsidRPr="001977F2">
              <w:rPr>
                <w:rFonts w:eastAsia="Aptos" w:cs="Aptos"/>
                <w:color w:val="000000" w:themeColor="text1"/>
                <w:szCs w:val="24"/>
                <w:lang w:val="en-US"/>
              </w:rPr>
              <w:lastRenderedPageBreak/>
              <w:t xml:space="preserve">work </w:t>
            </w:r>
            <w:proofErr w:type="spellStart"/>
            <w:r w:rsidRPr="001977F2">
              <w:rPr>
                <w:rFonts w:eastAsia="Aptos" w:cs="Aptos"/>
                <w:color w:val="000000" w:themeColor="text1"/>
                <w:szCs w:val="24"/>
                <w:lang w:val="en-US"/>
              </w:rPr>
              <w:t>programmes</w:t>
            </w:r>
            <w:proofErr w:type="spellEnd"/>
            <w:r w:rsidRPr="001977F2">
              <w:rPr>
                <w:rFonts w:eastAsia="Aptos" w:cs="Aptos"/>
                <w:color w:val="000000" w:themeColor="text1"/>
                <w:szCs w:val="24"/>
                <w:lang w:val="en-US"/>
              </w:rPr>
              <w:t xml:space="preserve"> and propose to either delay or scale back activities in certain areas.</w:t>
            </w:r>
          </w:p>
          <w:p w14:paraId="706EEA81" w14:textId="77777777" w:rsidR="007E0043" w:rsidRPr="001977F2" w:rsidRDefault="007E0043" w:rsidP="0021047A">
            <w:pPr>
              <w:rPr>
                <w:rFonts w:eastAsia="Aptos" w:cs="Aptos"/>
                <w:color w:val="000000" w:themeColor="text1"/>
                <w:szCs w:val="24"/>
              </w:rPr>
            </w:pPr>
          </w:p>
          <w:p w14:paraId="6A27544A" w14:textId="77777777" w:rsidR="007E0043" w:rsidRPr="001977F2" w:rsidRDefault="007E0043" w:rsidP="0021047A">
            <w:pPr>
              <w:rPr>
                <w:rFonts w:eastAsia="Aptos" w:cs="Aptos"/>
                <w:color w:val="000000" w:themeColor="text1"/>
                <w:szCs w:val="24"/>
              </w:rPr>
            </w:pPr>
            <w:r w:rsidRPr="001977F2">
              <w:rPr>
                <w:rFonts w:eastAsia="Aptos" w:cs="Aptos"/>
                <w:color w:val="000000" w:themeColor="text1"/>
                <w:szCs w:val="24"/>
                <w:lang w:val="en-US"/>
              </w:rPr>
              <w:t>This would lower the average regional rates increase for 2025/26 from 14.5% to 9.72%. This works out to an average increase of $1.27 per household per week. </w:t>
            </w:r>
            <w:r w:rsidRPr="001977F2">
              <w:rPr>
                <w:rFonts w:eastAsia="Aptos" w:cs="Aptos"/>
                <w:color w:val="000000" w:themeColor="text1"/>
                <w:szCs w:val="24"/>
              </w:rPr>
              <w:t> </w:t>
            </w:r>
          </w:p>
          <w:p w14:paraId="01D99DC9" w14:textId="77777777" w:rsidR="007E0043" w:rsidRPr="001977F2" w:rsidRDefault="007E0043" w:rsidP="0021047A">
            <w:pPr>
              <w:rPr>
                <w:rFonts w:eastAsia="Aptos" w:cs="Aptos"/>
                <w:color w:val="000000" w:themeColor="text1"/>
                <w:szCs w:val="24"/>
              </w:rPr>
            </w:pPr>
          </w:p>
          <w:p w14:paraId="1486E803" w14:textId="77777777" w:rsidR="007E0043" w:rsidRPr="001977F2" w:rsidRDefault="007E0043" w:rsidP="0021047A">
            <w:pPr>
              <w:rPr>
                <w:rFonts w:eastAsia="Aptos" w:cs="Aptos"/>
                <w:color w:val="000000" w:themeColor="text1"/>
                <w:szCs w:val="24"/>
              </w:rPr>
            </w:pPr>
            <w:r w:rsidRPr="001977F2">
              <w:rPr>
                <w:rFonts w:eastAsia="Aptos" w:cs="Aptos"/>
                <w:color w:val="000000" w:themeColor="text1"/>
                <w:szCs w:val="24"/>
              </w:rPr>
              <w:t xml:space="preserve">Despite these constraints, we remain committed to delivering the services and infrastructure that matter most to our community. We continue our important work addressing the impacts of climate change and controlling the pests that damage our </w:t>
            </w:r>
            <w:proofErr w:type="spellStart"/>
            <w:r w:rsidRPr="001977F2">
              <w:rPr>
                <w:rFonts w:eastAsia="Aptos" w:cs="Aptos"/>
                <w:color w:val="000000" w:themeColor="text1"/>
                <w:szCs w:val="24"/>
              </w:rPr>
              <w:t>rohe</w:t>
            </w:r>
            <w:proofErr w:type="spellEnd"/>
            <w:r w:rsidRPr="001977F2">
              <w:rPr>
                <w:rFonts w:eastAsia="Aptos" w:cs="Aptos"/>
                <w:color w:val="000000" w:themeColor="text1"/>
                <w:szCs w:val="24"/>
              </w:rPr>
              <w:t xml:space="preserve">. We are developing a frequent and reliable public transport system and </w:t>
            </w:r>
            <w:r>
              <w:rPr>
                <w:rFonts w:eastAsia="Aptos" w:cs="Aptos"/>
                <w:color w:val="000000" w:themeColor="text1"/>
                <w:szCs w:val="24"/>
              </w:rPr>
              <w:t xml:space="preserve">are </w:t>
            </w:r>
            <w:r w:rsidRPr="001977F2">
              <w:rPr>
                <w:rFonts w:eastAsia="Aptos" w:cs="Aptos"/>
                <w:color w:val="000000" w:themeColor="text1"/>
                <w:szCs w:val="24"/>
              </w:rPr>
              <w:t>protecting the region’s communities from the impacts of flooding.</w:t>
            </w:r>
          </w:p>
          <w:p w14:paraId="167F7337" w14:textId="77777777" w:rsidR="007E0043" w:rsidRPr="001977F2" w:rsidRDefault="007E0043" w:rsidP="0021047A">
            <w:pPr>
              <w:rPr>
                <w:rFonts w:eastAsia="Aptos" w:cs="Aptos"/>
                <w:color w:val="000000" w:themeColor="text1"/>
                <w:szCs w:val="24"/>
              </w:rPr>
            </w:pPr>
          </w:p>
          <w:p w14:paraId="3273D155" w14:textId="77777777" w:rsidR="007E0043" w:rsidRPr="001977F2" w:rsidRDefault="007E0043" w:rsidP="0021047A">
            <w:pPr>
              <w:rPr>
                <w:rFonts w:eastAsia="Aptos" w:cs="Aptos"/>
                <w:color w:val="000000" w:themeColor="text1"/>
                <w:szCs w:val="24"/>
              </w:rPr>
            </w:pPr>
            <w:r w:rsidRPr="001977F2">
              <w:rPr>
                <w:rFonts w:eastAsia="Aptos" w:cs="Aptos"/>
                <w:color w:val="000000" w:themeColor="text1"/>
                <w:szCs w:val="24"/>
              </w:rPr>
              <w:t xml:space="preserve">Our proposed reduced rate increase reflects a careful balance – addressing current financial challenges while continuing to invest in the services and projects you identified as important during the development of the </w:t>
            </w:r>
            <w:proofErr w:type="gramStart"/>
            <w:r w:rsidRPr="001977F2">
              <w:rPr>
                <w:rFonts w:eastAsia="Aptos" w:cs="Aptos"/>
                <w:color w:val="000000" w:themeColor="text1"/>
                <w:szCs w:val="24"/>
              </w:rPr>
              <w:t>Long Term</w:t>
            </w:r>
            <w:proofErr w:type="gramEnd"/>
            <w:r w:rsidRPr="001977F2">
              <w:rPr>
                <w:rFonts w:eastAsia="Aptos" w:cs="Aptos"/>
                <w:color w:val="000000" w:themeColor="text1"/>
                <w:szCs w:val="24"/>
              </w:rPr>
              <w:t xml:space="preserve"> Plan</w:t>
            </w:r>
            <w:r>
              <w:rPr>
                <w:rFonts w:eastAsia="Aptos" w:cs="Aptos"/>
                <w:color w:val="000000" w:themeColor="text1"/>
                <w:szCs w:val="24"/>
              </w:rPr>
              <w:t xml:space="preserve"> 2024-34</w:t>
            </w:r>
            <w:r w:rsidRPr="001977F2">
              <w:rPr>
                <w:rFonts w:eastAsia="Aptos" w:cs="Aptos"/>
                <w:color w:val="000000" w:themeColor="text1"/>
                <w:szCs w:val="24"/>
              </w:rPr>
              <w:t>.</w:t>
            </w:r>
          </w:p>
          <w:p w14:paraId="2032873E" w14:textId="77777777" w:rsidR="007E0043" w:rsidRPr="001977F2" w:rsidRDefault="007E0043" w:rsidP="0021047A"/>
          <w:p w14:paraId="4D7B1570" w14:textId="77777777" w:rsidR="007E0043" w:rsidRDefault="007E0043" w:rsidP="0021047A">
            <w:r w:rsidRPr="001977F2">
              <w:t xml:space="preserve">The breakdown of the draft average rates increase across the region can be seen </w:t>
            </w:r>
            <w:r>
              <w:t xml:space="preserve">below. </w:t>
            </w:r>
            <w:r w:rsidRPr="009E62C1">
              <w:t>Your individual rates may vary based on local factors which means that your rates bill is likely to differ from that of the regional average and/or your neighbours</w:t>
            </w:r>
            <w:r>
              <w:t>’</w:t>
            </w:r>
            <w:r w:rsidRPr="009E62C1">
              <w:t xml:space="preserve">. For a more personalised estimate of your draft 2025/26 rates, please check out our rates calculator on our website: </w:t>
            </w:r>
            <w:hyperlink r:id="rId19" w:history="1">
              <w:r w:rsidRPr="00665387">
                <w:rPr>
                  <w:rStyle w:val="Hyperlink"/>
                </w:rPr>
                <w:t>www.rates.gw.govt.nz/</w:t>
              </w:r>
            </w:hyperlink>
            <w:r>
              <w:t xml:space="preserve">   </w:t>
            </w:r>
          </w:p>
          <w:p w14:paraId="05F24135" w14:textId="77777777" w:rsidR="007E0043" w:rsidRPr="001977F2" w:rsidRDefault="007E0043" w:rsidP="0021047A"/>
          <w:tbl>
            <w:tblPr>
              <w:tblW w:w="7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2387"/>
              <w:gridCol w:w="2387"/>
            </w:tblGrid>
            <w:tr w:rsidR="007E0043" w:rsidRPr="001977F2" w14:paraId="032EAC7A" w14:textId="77777777" w:rsidTr="0021047A">
              <w:trPr>
                <w:trHeight w:val="600"/>
              </w:trPr>
              <w:tc>
                <w:tcPr>
                  <w:tcW w:w="2572" w:type="dxa"/>
                </w:tcPr>
                <w:p w14:paraId="39BC47BA" w14:textId="77777777" w:rsidR="007E0043" w:rsidRPr="00B54BCC" w:rsidRDefault="007E0043" w:rsidP="0021047A">
                  <w:pPr>
                    <w:rPr>
                      <w:szCs w:val="24"/>
                    </w:rPr>
                  </w:pPr>
                  <w:r w:rsidRPr="00B54BCC">
                    <w:rPr>
                      <w:b/>
                      <w:bCs/>
                      <w:szCs w:val="24"/>
                    </w:rPr>
                    <w:t>Draft Region Wide average</w:t>
                  </w:r>
                </w:p>
              </w:tc>
              <w:tc>
                <w:tcPr>
                  <w:tcW w:w="2387" w:type="dxa"/>
                </w:tcPr>
                <w:p w14:paraId="07186A43" w14:textId="77777777" w:rsidR="007E0043" w:rsidRPr="00B54BCC" w:rsidRDefault="007E0043" w:rsidP="0021047A">
                  <w:r w:rsidRPr="6E7EF077">
                    <w:rPr>
                      <w:b/>
                      <w:bCs/>
                    </w:rPr>
                    <w:t xml:space="preserve">Average increase per annum </w:t>
                  </w:r>
                </w:p>
              </w:tc>
              <w:tc>
                <w:tcPr>
                  <w:tcW w:w="2387" w:type="dxa"/>
                </w:tcPr>
                <w:p w14:paraId="4EB14EF3" w14:textId="77777777" w:rsidR="007E0043" w:rsidRPr="00B54BCC" w:rsidRDefault="007E0043" w:rsidP="0021047A">
                  <w:pPr>
                    <w:rPr>
                      <w:b/>
                      <w:bCs/>
                    </w:rPr>
                  </w:pPr>
                  <w:r w:rsidRPr="6E7EF077">
                    <w:rPr>
                      <w:b/>
                      <w:bCs/>
                    </w:rPr>
                    <w:t xml:space="preserve">Average increase per week </w:t>
                  </w:r>
                </w:p>
              </w:tc>
            </w:tr>
            <w:tr w:rsidR="007E0043" w:rsidRPr="001977F2" w14:paraId="7782C8E3" w14:textId="77777777" w:rsidTr="0021047A">
              <w:trPr>
                <w:trHeight w:val="110"/>
              </w:trPr>
              <w:tc>
                <w:tcPr>
                  <w:tcW w:w="2572" w:type="dxa"/>
                </w:tcPr>
                <w:p w14:paraId="309B82E3" w14:textId="77777777" w:rsidR="007E0043" w:rsidRPr="00B54BCC" w:rsidRDefault="007E0043" w:rsidP="0021047A">
                  <w:pPr>
                    <w:rPr>
                      <w:szCs w:val="24"/>
                    </w:rPr>
                  </w:pPr>
                  <w:r w:rsidRPr="00B54BCC">
                    <w:rPr>
                      <w:szCs w:val="24"/>
                    </w:rPr>
                    <w:t xml:space="preserve">Residential (incl. GST) </w:t>
                  </w:r>
                </w:p>
              </w:tc>
              <w:tc>
                <w:tcPr>
                  <w:tcW w:w="2387" w:type="dxa"/>
                </w:tcPr>
                <w:p w14:paraId="58F90BA4" w14:textId="77777777" w:rsidR="007E0043" w:rsidRPr="00B54BCC" w:rsidRDefault="007E0043" w:rsidP="0021047A">
                  <w:pPr>
                    <w:jc w:val="center"/>
                    <w:rPr>
                      <w:rFonts w:eastAsia="Calibri" w:cs="Calibri"/>
                      <w:szCs w:val="24"/>
                    </w:rPr>
                  </w:pPr>
                  <w:r w:rsidRPr="00B54BCC">
                    <w:rPr>
                      <w:rFonts w:eastAsia="Calibri" w:cs="Calibri"/>
                      <w:szCs w:val="24"/>
                    </w:rPr>
                    <w:t>$66.22</w:t>
                  </w:r>
                </w:p>
              </w:tc>
              <w:tc>
                <w:tcPr>
                  <w:tcW w:w="2387" w:type="dxa"/>
                </w:tcPr>
                <w:p w14:paraId="654086DD" w14:textId="77777777" w:rsidR="007E0043" w:rsidRPr="00B54BCC" w:rsidRDefault="007E0043" w:rsidP="0021047A">
                  <w:pPr>
                    <w:jc w:val="center"/>
                    <w:rPr>
                      <w:rFonts w:eastAsia="Calibri" w:cs="Calibri"/>
                      <w:szCs w:val="24"/>
                    </w:rPr>
                  </w:pPr>
                  <w:r w:rsidRPr="00B54BCC">
                    <w:rPr>
                      <w:rFonts w:eastAsia="Calibri" w:cs="Calibri"/>
                      <w:szCs w:val="24"/>
                    </w:rPr>
                    <w:t>$1.27</w:t>
                  </w:r>
                </w:p>
              </w:tc>
            </w:tr>
            <w:tr w:rsidR="007E0043" w:rsidRPr="001977F2" w14:paraId="76EADDB0" w14:textId="77777777" w:rsidTr="0021047A">
              <w:trPr>
                <w:trHeight w:val="110"/>
              </w:trPr>
              <w:tc>
                <w:tcPr>
                  <w:tcW w:w="2572" w:type="dxa"/>
                </w:tcPr>
                <w:p w14:paraId="6F61AF49" w14:textId="77777777" w:rsidR="007E0043" w:rsidRPr="00B54BCC" w:rsidRDefault="007E0043" w:rsidP="0021047A">
                  <w:pPr>
                    <w:rPr>
                      <w:szCs w:val="24"/>
                    </w:rPr>
                  </w:pPr>
                  <w:r w:rsidRPr="00B54BCC">
                    <w:rPr>
                      <w:szCs w:val="24"/>
                    </w:rPr>
                    <w:t xml:space="preserve">Business (excl. GST) </w:t>
                  </w:r>
                </w:p>
              </w:tc>
              <w:tc>
                <w:tcPr>
                  <w:tcW w:w="2387" w:type="dxa"/>
                </w:tcPr>
                <w:p w14:paraId="118E896B" w14:textId="77777777" w:rsidR="007E0043" w:rsidRPr="00B54BCC" w:rsidRDefault="007E0043" w:rsidP="0021047A">
                  <w:pPr>
                    <w:jc w:val="center"/>
                    <w:rPr>
                      <w:rFonts w:eastAsia="Calibri" w:cs="Calibri"/>
                      <w:szCs w:val="24"/>
                    </w:rPr>
                  </w:pPr>
                  <w:r w:rsidRPr="00B54BCC">
                    <w:rPr>
                      <w:rFonts w:eastAsia="Calibri" w:cs="Calibri"/>
                      <w:szCs w:val="24"/>
                    </w:rPr>
                    <w:t>$568.76</w:t>
                  </w:r>
                </w:p>
              </w:tc>
              <w:tc>
                <w:tcPr>
                  <w:tcW w:w="2387" w:type="dxa"/>
                </w:tcPr>
                <w:p w14:paraId="243A9821" w14:textId="77777777" w:rsidR="007E0043" w:rsidRPr="00B54BCC" w:rsidRDefault="007E0043" w:rsidP="0021047A">
                  <w:pPr>
                    <w:jc w:val="center"/>
                    <w:rPr>
                      <w:rFonts w:eastAsia="Calibri" w:cs="Calibri"/>
                      <w:szCs w:val="24"/>
                    </w:rPr>
                  </w:pPr>
                  <w:r w:rsidRPr="00B54BCC">
                    <w:rPr>
                      <w:rFonts w:eastAsia="Calibri" w:cs="Calibri"/>
                      <w:szCs w:val="24"/>
                    </w:rPr>
                    <w:t>$10.94</w:t>
                  </w:r>
                </w:p>
              </w:tc>
            </w:tr>
            <w:tr w:rsidR="007E0043" w:rsidRPr="001977F2" w14:paraId="49B6EDD9" w14:textId="77777777" w:rsidTr="0021047A">
              <w:trPr>
                <w:trHeight w:val="110"/>
              </w:trPr>
              <w:tc>
                <w:tcPr>
                  <w:tcW w:w="2572" w:type="dxa"/>
                </w:tcPr>
                <w:p w14:paraId="2B478F84" w14:textId="77777777" w:rsidR="007E0043" w:rsidRPr="00B54BCC" w:rsidRDefault="007E0043" w:rsidP="0021047A">
                  <w:pPr>
                    <w:rPr>
                      <w:szCs w:val="24"/>
                    </w:rPr>
                  </w:pPr>
                  <w:r w:rsidRPr="00B54BCC">
                    <w:rPr>
                      <w:szCs w:val="24"/>
                    </w:rPr>
                    <w:t xml:space="preserve">Rural (excl. GST) </w:t>
                  </w:r>
                </w:p>
              </w:tc>
              <w:tc>
                <w:tcPr>
                  <w:tcW w:w="2387" w:type="dxa"/>
                </w:tcPr>
                <w:p w14:paraId="7359880D" w14:textId="77777777" w:rsidR="007E0043" w:rsidRPr="00B54BCC" w:rsidRDefault="007E0043" w:rsidP="0021047A">
                  <w:pPr>
                    <w:jc w:val="center"/>
                    <w:rPr>
                      <w:rFonts w:eastAsia="Calibri" w:cs="Calibri"/>
                      <w:szCs w:val="24"/>
                    </w:rPr>
                  </w:pPr>
                  <w:r w:rsidRPr="00B54BCC">
                    <w:rPr>
                      <w:rFonts w:eastAsia="Calibri" w:cs="Calibri"/>
                      <w:szCs w:val="24"/>
                    </w:rPr>
                    <w:t>$80.25</w:t>
                  </w:r>
                </w:p>
              </w:tc>
              <w:tc>
                <w:tcPr>
                  <w:tcW w:w="2387" w:type="dxa"/>
                </w:tcPr>
                <w:p w14:paraId="4CC55767" w14:textId="77777777" w:rsidR="007E0043" w:rsidRPr="00B54BCC" w:rsidRDefault="007E0043" w:rsidP="0021047A">
                  <w:pPr>
                    <w:jc w:val="center"/>
                    <w:rPr>
                      <w:rFonts w:eastAsia="Calibri" w:cs="Calibri"/>
                      <w:szCs w:val="24"/>
                    </w:rPr>
                  </w:pPr>
                  <w:r w:rsidRPr="00B54BCC">
                    <w:rPr>
                      <w:rFonts w:eastAsia="Calibri" w:cs="Calibri"/>
                      <w:szCs w:val="24"/>
                    </w:rPr>
                    <w:t>$1.54</w:t>
                  </w:r>
                </w:p>
              </w:tc>
            </w:tr>
          </w:tbl>
          <w:p w14:paraId="09CF7919" w14:textId="77777777" w:rsidR="007E0043" w:rsidRPr="001977F2" w:rsidRDefault="007E0043" w:rsidP="0021047A"/>
        </w:tc>
      </w:tr>
      <w:tr w:rsidR="007E0043" w14:paraId="7AE7EC3D" w14:textId="77777777" w:rsidTr="0021047A">
        <w:tc>
          <w:tcPr>
            <w:tcW w:w="2122" w:type="dxa"/>
          </w:tcPr>
          <w:p w14:paraId="09A15AD9" w14:textId="77777777" w:rsidR="007E0043" w:rsidRPr="005B5A53" w:rsidRDefault="007E0043" w:rsidP="0021047A">
            <w:r w:rsidRPr="005B5A53">
              <w:lastRenderedPageBreak/>
              <w:t xml:space="preserve">What do I get for my rates? </w:t>
            </w:r>
          </w:p>
          <w:p w14:paraId="0E26E5D1" w14:textId="77777777" w:rsidR="007E0043" w:rsidRPr="001D505B" w:rsidRDefault="007E0043" w:rsidP="0021047A"/>
        </w:tc>
        <w:tc>
          <w:tcPr>
            <w:tcW w:w="7562" w:type="dxa"/>
          </w:tcPr>
          <w:p w14:paraId="054B3222" w14:textId="77777777" w:rsidR="007E0043" w:rsidRPr="005B5A53" w:rsidRDefault="007E0043" w:rsidP="0021047A">
            <w:r w:rsidRPr="005B5A53">
              <w:rPr>
                <w:b/>
                <w:bCs/>
              </w:rPr>
              <w:t xml:space="preserve">In General: </w:t>
            </w:r>
            <w:r w:rsidRPr="005B5A53">
              <w:t>we deliver services across our four activity groups (refer to</w:t>
            </w:r>
            <w:r>
              <w:t xml:space="preserve"> the following pages in</w:t>
            </w:r>
            <w:r w:rsidRPr="005B5A53">
              <w:t xml:space="preserve"> our 202</w:t>
            </w:r>
            <w:r>
              <w:t>4</w:t>
            </w:r>
            <w:r w:rsidRPr="005B5A53">
              <w:t>-</w:t>
            </w:r>
            <w:r>
              <w:t>34</w:t>
            </w:r>
            <w:r w:rsidRPr="005B5A53">
              <w:t xml:space="preserve"> Long Term Plan for more detail): </w:t>
            </w:r>
          </w:p>
          <w:p w14:paraId="30CF0676" w14:textId="77777777" w:rsidR="007E0043" w:rsidRDefault="007E0043" w:rsidP="007E0043">
            <w:pPr>
              <w:pStyle w:val="ListParagraph"/>
              <w:numPr>
                <w:ilvl w:val="0"/>
                <w:numId w:val="21"/>
              </w:numPr>
            </w:pPr>
            <w:r w:rsidRPr="05635FB2">
              <w:t xml:space="preserve">Te Taiao Environment activities, page 37 </w:t>
            </w:r>
          </w:p>
          <w:p w14:paraId="1137BAFB" w14:textId="77777777" w:rsidR="007E0043" w:rsidRPr="005B5A53" w:rsidRDefault="007E0043" w:rsidP="007E0043">
            <w:pPr>
              <w:pStyle w:val="ListParagraph"/>
              <w:numPr>
                <w:ilvl w:val="0"/>
                <w:numId w:val="21"/>
              </w:numPr>
            </w:pPr>
            <w:r w:rsidRPr="05635FB2">
              <w:t xml:space="preserve">Metlink Public Transport activities, page 63 </w:t>
            </w:r>
          </w:p>
          <w:p w14:paraId="220CE80E" w14:textId="77777777" w:rsidR="007E0043" w:rsidRPr="005B5A53" w:rsidRDefault="007E0043" w:rsidP="007E0043">
            <w:pPr>
              <w:pStyle w:val="ListParagraph"/>
              <w:numPr>
                <w:ilvl w:val="0"/>
                <w:numId w:val="21"/>
              </w:numPr>
            </w:pPr>
            <w:r w:rsidRPr="005B5A53">
              <w:t>Regional Strategy and Partnerships, page 7</w:t>
            </w:r>
            <w:r>
              <w:t>9</w:t>
            </w:r>
            <w:r w:rsidRPr="005B5A53">
              <w:t xml:space="preserve"> </w:t>
            </w:r>
          </w:p>
          <w:p w14:paraId="642F35C1" w14:textId="77777777" w:rsidR="007E0043" w:rsidRPr="005B5A53" w:rsidRDefault="007E0043" w:rsidP="007E0043">
            <w:pPr>
              <w:pStyle w:val="ListParagraph"/>
              <w:numPr>
                <w:ilvl w:val="0"/>
                <w:numId w:val="21"/>
              </w:numPr>
            </w:pPr>
            <w:r>
              <w:t xml:space="preserve">Water Supply, page 107 </w:t>
            </w:r>
          </w:p>
          <w:p w14:paraId="022E10B2" w14:textId="77777777" w:rsidR="007E0043" w:rsidRPr="005B5A53" w:rsidRDefault="007E0043" w:rsidP="0021047A"/>
          <w:p w14:paraId="3C433F80" w14:textId="77777777" w:rsidR="007E0043" w:rsidRPr="001D505B" w:rsidRDefault="007E0043" w:rsidP="0021047A">
            <w:pPr>
              <w:rPr>
                <w:b/>
                <w:bCs/>
                <w:highlight w:val="yellow"/>
              </w:rPr>
            </w:pPr>
            <w:r w:rsidRPr="6E7EF077">
              <w:rPr>
                <w:b/>
                <w:bCs/>
              </w:rPr>
              <w:lastRenderedPageBreak/>
              <w:t xml:space="preserve">Specific to 2025/26: </w:t>
            </w:r>
            <w:r>
              <w:t>Please refer to our regional fact sheets for examples of p</w:t>
            </w:r>
            <w:r w:rsidRPr="00101CC8">
              <w:t xml:space="preserve">rojects in your area </w:t>
            </w:r>
            <w:hyperlink r:id="rId20" w:tgtFrame="_blank" w:history="1">
              <w:r w:rsidRPr="00101CC8">
                <w:rPr>
                  <w:rStyle w:val="Hyperlink"/>
                </w:rPr>
                <w:t>https://www.gw.govt.nz/2025-26-annual-plan</w:t>
              </w:r>
            </w:hyperlink>
            <w:r w:rsidRPr="00101CC8">
              <w:t xml:space="preserve"> </w:t>
            </w:r>
          </w:p>
        </w:tc>
      </w:tr>
      <w:tr w:rsidR="007E0043" w14:paraId="521EC93E" w14:textId="77777777" w:rsidTr="0021047A">
        <w:tc>
          <w:tcPr>
            <w:tcW w:w="2122" w:type="dxa"/>
          </w:tcPr>
          <w:p w14:paraId="2E5ECFBB" w14:textId="77777777" w:rsidR="007E0043" w:rsidRPr="0089350A" w:rsidRDefault="007E0043" w:rsidP="0021047A">
            <w:r w:rsidRPr="05635FB2">
              <w:lastRenderedPageBreak/>
              <w:t xml:space="preserve">Why do I pay rates for things I don’t care about? </w:t>
            </w:r>
          </w:p>
          <w:p w14:paraId="0653FE3F" w14:textId="77777777" w:rsidR="007E0043" w:rsidRPr="001D505B" w:rsidRDefault="007E0043" w:rsidP="0021047A"/>
        </w:tc>
        <w:tc>
          <w:tcPr>
            <w:tcW w:w="7562" w:type="dxa"/>
          </w:tcPr>
          <w:p w14:paraId="5F4D6B09" w14:textId="77777777" w:rsidR="007E0043" w:rsidRDefault="007E0043" w:rsidP="0021047A">
            <w:r w:rsidRPr="05635FB2">
              <w:t xml:space="preserve">What we deliver is agreed on through our </w:t>
            </w:r>
            <w:proofErr w:type="gramStart"/>
            <w:r w:rsidRPr="05635FB2">
              <w:t>Long Term</w:t>
            </w:r>
            <w:proofErr w:type="gramEnd"/>
            <w:r w:rsidRPr="05635FB2">
              <w:t xml:space="preserve"> Plan process, that sets the strategic direction and priorities for Greater Wellington over the next 10 years. This gets refreshed every three years, and we ask the public what their priorities are. We encourage you to keep your eye out during 2026/27 for opportunities to share your thoughts on what you would like to see Greater Wellington prioritise its spending on during the next </w:t>
            </w:r>
            <w:proofErr w:type="gramStart"/>
            <w:r w:rsidRPr="05635FB2">
              <w:t>Long Term</w:t>
            </w:r>
            <w:proofErr w:type="gramEnd"/>
            <w:r w:rsidRPr="05635FB2">
              <w:t xml:space="preserve"> Plan</w:t>
            </w:r>
            <w:r>
              <w:t xml:space="preserve"> for 2027-37</w:t>
            </w:r>
            <w:r w:rsidRPr="05635FB2">
              <w:t xml:space="preserve">. </w:t>
            </w:r>
          </w:p>
          <w:p w14:paraId="3810224B" w14:textId="77777777" w:rsidR="007E0043" w:rsidRPr="0089350A" w:rsidRDefault="007E0043" w:rsidP="0021047A"/>
          <w:p w14:paraId="5E0071E8" w14:textId="77777777" w:rsidR="007E0043" w:rsidRPr="001D505B" w:rsidRDefault="007E0043" w:rsidP="0021047A">
            <w:r w:rsidRPr="001D505B">
              <w:t xml:space="preserve">If you are interested in the breakdown of what your rates specifically go towards, please see our Revenue and Financing </w:t>
            </w:r>
            <w:r>
              <w:t>P</w:t>
            </w:r>
            <w:r w:rsidRPr="001D505B">
              <w:t xml:space="preserve">olicy: </w:t>
            </w:r>
            <w:hyperlink r:id="rId21" w:history="1">
              <w:r w:rsidRPr="0015281A">
                <w:rPr>
                  <w:rStyle w:val="Hyperlink"/>
                </w:rPr>
                <w:t>https://www.gw.govt.nz/document/22736/2024-revenue-and-financing-policy/</w:t>
              </w:r>
            </w:hyperlink>
            <w:r>
              <w:t xml:space="preserve"> </w:t>
            </w:r>
          </w:p>
        </w:tc>
      </w:tr>
      <w:tr w:rsidR="007E0043" w14:paraId="13921B71" w14:textId="77777777" w:rsidTr="0021047A">
        <w:tc>
          <w:tcPr>
            <w:tcW w:w="2122" w:type="dxa"/>
          </w:tcPr>
          <w:p w14:paraId="021B21F3" w14:textId="77777777" w:rsidR="007E0043" w:rsidRPr="00782F0F" w:rsidRDefault="007E0043" w:rsidP="0021047A">
            <w:r w:rsidRPr="00782F0F">
              <w:t xml:space="preserve">Why are different areas paying different rates increases? </w:t>
            </w:r>
          </w:p>
          <w:p w14:paraId="65F21342" w14:textId="77777777" w:rsidR="007E0043" w:rsidRPr="001D505B" w:rsidRDefault="007E0043" w:rsidP="0021047A"/>
        </w:tc>
        <w:tc>
          <w:tcPr>
            <w:tcW w:w="7562" w:type="dxa"/>
          </w:tcPr>
          <w:p w14:paraId="12D9BCB9" w14:textId="77777777" w:rsidR="007E0043" w:rsidRPr="00782F0F" w:rsidRDefault="007E0043" w:rsidP="0021047A">
            <w:r w:rsidRPr="00782F0F">
              <w:t xml:space="preserve">Rates increases vary between regions due to: </w:t>
            </w:r>
          </w:p>
          <w:p w14:paraId="4629C558" w14:textId="77777777" w:rsidR="007E0043" w:rsidRPr="00782F0F" w:rsidRDefault="007E0043" w:rsidP="007E0043">
            <w:pPr>
              <w:pStyle w:val="ListParagraph"/>
              <w:numPr>
                <w:ilvl w:val="0"/>
                <w:numId w:val="20"/>
              </w:numPr>
            </w:pPr>
            <w:r w:rsidRPr="05635FB2">
              <w:t xml:space="preserve">The percentages of the property types (residential, rural and business) and how the different types of rates effect each property type. </w:t>
            </w:r>
          </w:p>
          <w:p w14:paraId="4B84AD64" w14:textId="77777777" w:rsidR="007E0043" w:rsidRDefault="007E0043" w:rsidP="007E0043">
            <w:pPr>
              <w:pStyle w:val="ListParagraph"/>
              <w:numPr>
                <w:ilvl w:val="0"/>
                <w:numId w:val="20"/>
              </w:numPr>
            </w:pPr>
            <w:r w:rsidRPr="00782F0F">
              <w:t xml:space="preserve">The changes in the capital valuations of properties in each region. </w:t>
            </w:r>
          </w:p>
          <w:p w14:paraId="3BFCA8CC" w14:textId="77777777" w:rsidR="007E0043" w:rsidRPr="00782F0F" w:rsidRDefault="007E0043" w:rsidP="007E0043">
            <w:pPr>
              <w:pStyle w:val="ListParagraph"/>
              <w:numPr>
                <w:ilvl w:val="0"/>
                <w:numId w:val="20"/>
              </w:numPr>
            </w:pPr>
            <w:r w:rsidRPr="00782F0F">
              <w:t xml:space="preserve">The changes in the targeted rates that apply to a specific region i.e. River Management Rate </w:t>
            </w:r>
          </w:p>
          <w:p w14:paraId="66E48149" w14:textId="77777777" w:rsidR="007E0043" w:rsidRPr="00782F0F" w:rsidRDefault="007E0043" w:rsidP="007E0043">
            <w:pPr>
              <w:pStyle w:val="ListParagraph"/>
              <w:numPr>
                <w:ilvl w:val="0"/>
                <w:numId w:val="20"/>
              </w:numPr>
            </w:pPr>
            <w:r w:rsidRPr="00782F0F">
              <w:t xml:space="preserve">Changes in the number of properties in a region </w:t>
            </w:r>
          </w:p>
          <w:p w14:paraId="6740ABED" w14:textId="77777777" w:rsidR="007E0043" w:rsidRDefault="007E0043" w:rsidP="0021047A"/>
          <w:p w14:paraId="37109E35" w14:textId="77777777" w:rsidR="007E0043" w:rsidRPr="001D505B" w:rsidRDefault="007E0043" w:rsidP="0021047A">
            <w:r w:rsidRPr="009E62C1">
              <w:t>Your individual rates may vary based on local factors which means that your rates bill is likely to differ from that of the regional average and/or your neighbours</w:t>
            </w:r>
            <w:r>
              <w:t>’</w:t>
            </w:r>
            <w:r w:rsidRPr="009E62C1">
              <w:t xml:space="preserve">. For a more personalised estimate of your draft 2025/26 rates, please check out our rates calculator on our website: </w:t>
            </w:r>
            <w:hyperlink r:id="rId22" w:history="1">
              <w:r w:rsidRPr="0023258D">
                <w:rPr>
                  <w:rStyle w:val="Hyperlink"/>
                </w:rPr>
                <w:t>https://rates.gw.govt.nz/</w:t>
              </w:r>
            </w:hyperlink>
            <w:r>
              <w:t xml:space="preserve"> </w:t>
            </w:r>
          </w:p>
        </w:tc>
      </w:tr>
      <w:tr w:rsidR="007E0043" w14:paraId="5FDBE9A6" w14:textId="77777777" w:rsidTr="0021047A">
        <w:tc>
          <w:tcPr>
            <w:tcW w:w="2122" w:type="dxa"/>
          </w:tcPr>
          <w:p w14:paraId="67337CC4" w14:textId="77777777" w:rsidR="007E0043" w:rsidRPr="00782F0F" w:rsidRDefault="007E0043" w:rsidP="0021047A">
            <w:r w:rsidRPr="00782F0F">
              <w:t xml:space="preserve">Why do the rates keep increasing? </w:t>
            </w:r>
          </w:p>
          <w:p w14:paraId="3D464651" w14:textId="77777777" w:rsidR="007E0043" w:rsidRPr="001D505B" w:rsidRDefault="007E0043" w:rsidP="0021047A"/>
        </w:tc>
        <w:tc>
          <w:tcPr>
            <w:tcW w:w="7562" w:type="dxa"/>
          </w:tcPr>
          <w:p w14:paraId="4C046678" w14:textId="77777777" w:rsidR="007E0043" w:rsidRPr="001D505B" w:rsidRDefault="007E0043" w:rsidP="0021047A">
            <w:r w:rsidRPr="05635FB2">
              <w:t xml:space="preserve">The last few years have been challenging for the whole country and our Region. Like all councils in Aotearoa New Zealand, we’re working under some difficult circumstances. We have experienced increased costs, </w:t>
            </w:r>
            <w:r>
              <w:t xml:space="preserve">reduced central government funding, </w:t>
            </w:r>
            <w:r w:rsidRPr="05635FB2">
              <w:t xml:space="preserve">higher insurance and borrowing costs. We try to strike a balance between responding to the current financial challenges and enabling us to continue to deliver the services and infrastructure that you told us were important to you during the development of the </w:t>
            </w:r>
            <w:proofErr w:type="gramStart"/>
            <w:r w:rsidRPr="05635FB2">
              <w:t>L</w:t>
            </w:r>
            <w:r>
              <w:t xml:space="preserve">ong </w:t>
            </w:r>
            <w:r w:rsidRPr="05635FB2">
              <w:t>T</w:t>
            </w:r>
            <w:r>
              <w:t>erm</w:t>
            </w:r>
            <w:proofErr w:type="gramEnd"/>
            <w:r>
              <w:t xml:space="preserve"> </w:t>
            </w:r>
            <w:r w:rsidRPr="05635FB2">
              <w:t>P</w:t>
            </w:r>
            <w:r>
              <w:t>lan</w:t>
            </w:r>
            <w:r w:rsidRPr="05635FB2">
              <w:t>.</w:t>
            </w:r>
          </w:p>
        </w:tc>
      </w:tr>
      <w:tr w:rsidR="007E0043" w14:paraId="66F11CBA" w14:textId="77777777" w:rsidTr="0021047A">
        <w:tc>
          <w:tcPr>
            <w:tcW w:w="2122" w:type="dxa"/>
          </w:tcPr>
          <w:p w14:paraId="129F8044" w14:textId="77777777" w:rsidR="007E0043" w:rsidRDefault="007E0043" w:rsidP="0021047A">
            <w:r w:rsidRPr="001D505B">
              <w:t xml:space="preserve">Why can’t Greater Wellington make </w:t>
            </w:r>
            <w:r w:rsidRPr="001D505B">
              <w:lastRenderedPageBreak/>
              <w:t xml:space="preserve">the rates increase lower / cut back on spending? </w:t>
            </w:r>
          </w:p>
          <w:p w14:paraId="0C0866F4" w14:textId="77777777" w:rsidR="007E0043" w:rsidRDefault="007E0043" w:rsidP="0021047A"/>
          <w:p w14:paraId="39626599" w14:textId="77777777" w:rsidR="007E0043" w:rsidRPr="001D505B" w:rsidRDefault="007E0043" w:rsidP="0021047A">
            <w:r w:rsidRPr="001D505B">
              <w:t>What has Greater Wellington considered to lower the rates increase?</w:t>
            </w:r>
          </w:p>
        </w:tc>
        <w:tc>
          <w:tcPr>
            <w:tcW w:w="7562" w:type="dxa"/>
          </w:tcPr>
          <w:p w14:paraId="0EE078F3" w14:textId="77777777" w:rsidR="007E0043" w:rsidRDefault="007E0043" w:rsidP="0021047A">
            <w:r w:rsidRPr="004A613B">
              <w:lastRenderedPageBreak/>
              <w:t xml:space="preserve">Greater Wellington’s </w:t>
            </w:r>
            <w:r>
              <w:t xml:space="preserve">intended </w:t>
            </w:r>
            <w:r w:rsidRPr="004A613B">
              <w:t xml:space="preserve">overall </w:t>
            </w:r>
            <w:r>
              <w:t xml:space="preserve">rates increase for 2025/26 was 14.5% (as outlined in the 2024-34 Long Term Plan). </w:t>
            </w:r>
          </w:p>
          <w:p w14:paraId="548CB800" w14:textId="77777777" w:rsidR="007E0043" w:rsidRDefault="007E0043" w:rsidP="0021047A"/>
          <w:p w14:paraId="357BBAE8" w14:textId="77777777" w:rsidR="007E0043" w:rsidRDefault="007E0043" w:rsidP="0021047A">
            <w:pPr>
              <w:rPr>
                <w:lang w:val="en-US"/>
              </w:rPr>
            </w:pPr>
            <w:r w:rsidRPr="000D2FA4">
              <w:rPr>
                <w:lang w:val="en-US"/>
              </w:rPr>
              <w:t xml:space="preserve">Rates help fund essential services and projects under the 2024-34 Long Term Plan. While inflation and borrowing costs appear to be easing for 2025-26, we continue to face new challenges including reduced government funding and ongoing cost-of-living pressures. To balance essential services within a tight budget, we have reviewed our work </w:t>
            </w:r>
            <w:proofErr w:type="spellStart"/>
            <w:r w:rsidRPr="000D2FA4">
              <w:rPr>
                <w:lang w:val="en-US"/>
              </w:rPr>
              <w:t>programmes</w:t>
            </w:r>
            <w:proofErr w:type="spellEnd"/>
            <w:r w:rsidRPr="000D2FA4">
              <w:rPr>
                <w:lang w:val="en-US"/>
              </w:rPr>
              <w:t xml:space="preserve"> and </w:t>
            </w:r>
            <w:proofErr w:type="gramStart"/>
            <w:r w:rsidRPr="000D2FA4">
              <w:rPr>
                <w:lang w:val="en-US"/>
              </w:rPr>
              <w:t>propose to</w:t>
            </w:r>
            <w:proofErr w:type="gramEnd"/>
            <w:r w:rsidRPr="000D2FA4">
              <w:rPr>
                <w:lang w:val="en-US"/>
              </w:rPr>
              <w:t xml:space="preserve"> either delay or scale back activities in certain areas</w:t>
            </w:r>
            <w:r>
              <w:rPr>
                <w:lang w:val="en-US"/>
              </w:rPr>
              <w:t xml:space="preserve"> </w:t>
            </w:r>
            <w:r>
              <w:t>to lower the rates increase to reduce financial pressures</w:t>
            </w:r>
            <w:r w:rsidRPr="000D2FA4">
              <w:rPr>
                <w:lang w:val="en-US"/>
              </w:rPr>
              <w:t>. This would lower the average regional rates increase for 2025/26 from 14.5% to 9.72%.  </w:t>
            </w:r>
          </w:p>
          <w:p w14:paraId="66BE2720" w14:textId="77777777" w:rsidR="007E0043" w:rsidRPr="000D2FA4" w:rsidRDefault="007E0043" w:rsidP="0021047A">
            <w:pPr>
              <w:rPr>
                <w:lang w:val="en-US"/>
              </w:rPr>
            </w:pPr>
          </w:p>
          <w:p w14:paraId="27EFF674" w14:textId="77777777" w:rsidR="007E0043" w:rsidRDefault="007E0043" w:rsidP="0021047A">
            <w:pPr>
              <w:rPr>
                <w:lang w:val="en-US"/>
              </w:rPr>
            </w:pPr>
            <w:r w:rsidRPr="000D2FA4">
              <w:t xml:space="preserve">Despite these constraints, we remain committed to delivering the services and infrastructure that matter most to our community. We continue our important work addressing the impacts of climate change and controlling the pests that damage our </w:t>
            </w:r>
            <w:proofErr w:type="spellStart"/>
            <w:r w:rsidRPr="000D2FA4">
              <w:t>rohe</w:t>
            </w:r>
            <w:proofErr w:type="spellEnd"/>
            <w:r w:rsidRPr="000D2FA4">
              <w:t>. We are developing a frequent and reliable public transport system and protecting the region’s communities from the impacts of flooding.</w:t>
            </w:r>
            <w:r w:rsidRPr="000D2FA4">
              <w:rPr>
                <w:lang w:val="en-US"/>
              </w:rPr>
              <w:t> </w:t>
            </w:r>
          </w:p>
          <w:p w14:paraId="3BCE9556" w14:textId="77777777" w:rsidR="007E0043" w:rsidRPr="000D2FA4" w:rsidRDefault="007E0043" w:rsidP="0021047A">
            <w:pPr>
              <w:rPr>
                <w:lang w:val="en-US"/>
              </w:rPr>
            </w:pPr>
          </w:p>
          <w:p w14:paraId="7F43CBDF" w14:textId="77777777" w:rsidR="007E0043" w:rsidRPr="00961DF6" w:rsidRDefault="007E0043" w:rsidP="0021047A">
            <w:pPr>
              <w:rPr>
                <w:lang w:val="en-US"/>
              </w:rPr>
            </w:pPr>
            <w:r w:rsidRPr="000D2FA4">
              <w:t xml:space="preserve">Our proposed reduced rate increase reflects a careful balance—addressing current financial challenges while continuing to invest in the services and projects you identified as important during the development of the </w:t>
            </w:r>
            <w:proofErr w:type="gramStart"/>
            <w:r w:rsidRPr="000D2FA4">
              <w:t>Long Term</w:t>
            </w:r>
            <w:proofErr w:type="gramEnd"/>
            <w:r w:rsidRPr="000D2FA4">
              <w:t xml:space="preserve"> Plan.</w:t>
            </w:r>
            <w:r w:rsidRPr="000D2FA4">
              <w:rPr>
                <w:lang w:val="en-US"/>
              </w:rPr>
              <w:t> </w:t>
            </w:r>
          </w:p>
        </w:tc>
      </w:tr>
      <w:tr w:rsidR="007E0043" w14:paraId="17C8C863" w14:textId="77777777" w:rsidTr="0021047A">
        <w:tc>
          <w:tcPr>
            <w:tcW w:w="2122" w:type="dxa"/>
          </w:tcPr>
          <w:p w14:paraId="4AE7E901" w14:textId="77777777" w:rsidR="007E0043" w:rsidRPr="00BB43A4" w:rsidRDefault="007E0043" w:rsidP="0021047A">
            <w:r w:rsidRPr="05635FB2">
              <w:lastRenderedPageBreak/>
              <w:t xml:space="preserve">General questions about Rates </w:t>
            </w:r>
          </w:p>
          <w:p w14:paraId="3DE2B89C" w14:textId="77777777" w:rsidR="007E0043" w:rsidRPr="001D505B" w:rsidRDefault="007E0043" w:rsidP="0021047A"/>
        </w:tc>
        <w:tc>
          <w:tcPr>
            <w:tcW w:w="7562" w:type="dxa"/>
          </w:tcPr>
          <w:p w14:paraId="3DD10C11" w14:textId="77777777" w:rsidR="007E0043" w:rsidRPr="001D505B" w:rsidRDefault="007E0043" w:rsidP="0021047A">
            <w:r w:rsidRPr="05635FB2">
              <w:t xml:space="preserve">Please visit our website for general information about how your rates are determined, how you pay for them, and what they go towards: </w:t>
            </w:r>
            <w:hyperlink r:id="rId23">
              <w:r w:rsidRPr="05635FB2">
                <w:rPr>
                  <w:rStyle w:val="Hyperlink"/>
                </w:rPr>
                <w:t>https://www.gw.govt.nz/your-region/your-rates/</w:t>
              </w:r>
            </w:hyperlink>
          </w:p>
        </w:tc>
      </w:tr>
      <w:tr w:rsidR="007E0043" w14:paraId="760907C3" w14:textId="77777777" w:rsidTr="0021047A">
        <w:tc>
          <w:tcPr>
            <w:tcW w:w="2122" w:type="dxa"/>
          </w:tcPr>
          <w:p w14:paraId="0CBC3A23" w14:textId="77777777" w:rsidR="007E0043" w:rsidRPr="00BB43A4" w:rsidRDefault="007E0043" w:rsidP="0021047A">
            <w:r w:rsidRPr="05635FB2">
              <w:t xml:space="preserve">I can’t afford my rates / </w:t>
            </w:r>
            <w:r>
              <w:t>I</w:t>
            </w:r>
            <w:r w:rsidRPr="05635FB2">
              <w:t xml:space="preserve">s there any assistance in paying my rates? </w:t>
            </w:r>
          </w:p>
          <w:p w14:paraId="2C0EFEB9" w14:textId="77777777" w:rsidR="007E0043" w:rsidRPr="001D505B" w:rsidRDefault="007E0043" w:rsidP="0021047A"/>
        </w:tc>
        <w:tc>
          <w:tcPr>
            <w:tcW w:w="7562" w:type="dxa"/>
          </w:tcPr>
          <w:p w14:paraId="564EC6EA" w14:textId="77777777" w:rsidR="007E0043" w:rsidRDefault="007E0043" w:rsidP="0021047A">
            <w:r w:rsidRPr="05635FB2">
              <w:t xml:space="preserve">If you need assistance with paying your rates and fit the criteria, rates Remission and postponement can be applied for on our website: </w:t>
            </w:r>
            <w:hyperlink r:id="rId24">
              <w:r w:rsidRPr="05635FB2">
                <w:rPr>
                  <w:rStyle w:val="Hyperlink"/>
                </w:rPr>
                <w:t>https://www.gw.govt.nz/your-region/your-rates/remission-and-postponement-policies/</w:t>
              </w:r>
            </w:hyperlink>
            <w:r w:rsidRPr="05635FB2">
              <w:t xml:space="preserve"> </w:t>
            </w:r>
          </w:p>
          <w:p w14:paraId="2731D254" w14:textId="77777777" w:rsidR="007E0043" w:rsidRDefault="007E0043" w:rsidP="0021047A"/>
          <w:p w14:paraId="3D5EB9C1" w14:textId="77777777" w:rsidR="007E0043" w:rsidRPr="001D505B" w:rsidRDefault="007E0043" w:rsidP="0021047A">
            <w:r>
              <w:t>Rates rebates can also be applied for via your local council.</w:t>
            </w:r>
          </w:p>
        </w:tc>
      </w:tr>
      <w:tr w:rsidR="007E0043" w14:paraId="4D3C75D4" w14:textId="77777777" w:rsidTr="0021047A">
        <w:tc>
          <w:tcPr>
            <w:tcW w:w="9684" w:type="dxa"/>
            <w:gridSpan w:val="2"/>
            <w:shd w:val="clear" w:color="auto" w:fill="BFBFBF" w:themeFill="background2" w:themeFillShade="BF"/>
          </w:tcPr>
          <w:p w14:paraId="537BBE32" w14:textId="77777777" w:rsidR="007E0043" w:rsidRPr="001D505B" w:rsidRDefault="007E0043" w:rsidP="0021047A">
            <w:r w:rsidRPr="001D505B">
              <w:t>Other</w:t>
            </w:r>
          </w:p>
        </w:tc>
      </w:tr>
      <w:tr w:rsidR="007E0043" w14:paraId="216A7A1A" w14:textId="77777777" w:rsidTr="0021047A">
        <w:tc>
          <w:tcPr>
            <w:tcW w:w="2122" w:type="dxa"/>
          </w:tcPr>
          <w:p w14:paraId="238134E9" w14:textId="77777777" w:rsidR="007E0043" w:rsidRPr="001D505B" w:rsidRDefault="007E0043" w:rsidP="0021047A">
            <w:r w:rsidRPr="001D505B">
              <w:t xml:space="preserve">How are </w:t>
            </w:r>
            <w:r>
              <w:t>Greater Wellington</w:t>
            </w:r>
            <w:r w:rsidRPr="001D505B">
              <w:t xml:space="preserve"> responding to the government’s direction around Water?</w:t>
            </w:r>
          </w:p>
        </w:tc>
        <w:tc>
          <w:tcPr>
            <w:tcW w:w="7562" w:type="dxa"/>
          </w:tcPr>
          <w:p w14:paraId="2ED7A1E4" w14:textId="77777777" w:rsidR="007E0043" w:rsidRPr="001D505B" w:rsidRDefault="007E0043" w:rsidP="0021047A">
            <w:r w:rsidRPr="00F1023C">
              <w:t xml:space="preserve">Greater Wellington has obligations </w:t>
            </w:r>
            <w:proofErr w:type="gramStart"/>
            <w:r w:rsidRPr="00F1023C">
              <w:t>as a result of</w:t>
            </w:r>
            <w:proofErr w:type="gramEnd"/>
            <w:r w:rsidRPr="00F1023C">
              <w:t xml:space="preserve"> new water legislation</w:t>
            </w:r>
            <w:r w:rsidRPr="342C0ED9">
              <w:rPr>
                <w:rStyle w:val="FootnoteReference"/>
              </w:rPr>
              <w:footnoteReference w:id="2"/>
            </w:r>
            <w:r w:rsidRPr="00F1023C">
              <w:t xml:space="preserve"> to submit a plan to the Department of Internal Affairs regarding the future of water services provision for the region by 3 September 2025. </w:t>
            </w:r>
            <w:r>
              <w:t xml:space="preserve">We will be working hard to meet this deadline and ensure that the community has an opportunity to have their say on what water services look like in the future. For more information and to have your say visit </w:t>
            </w:r>
            <w:hyperlink r:id="rId25" w:history="1">
              <w:r w:rsidRPr="00440875">
                <w:rPr>
                  <w:rStyle w:val="Hyperlink"/>
                </w:rPr>
                <w:t>https://www.gw.govt.nz/environment/freshwater/%20local-water-done-well/</w:t>
              </w:r>
            </w:hyperlink>
            <w:r w:rsidRPr="00440875">
              <w:t xml:space="preserve"> </w:t>
            </w:r>
          </w:p>
        </w:tc>
      </w:tr>
      <w:tr w:rsidR="007E0043" w14:paraId="11015C34" w14:textId="77777777" w:rsidTr="0021047A">
        <w:tc>
          <w:tcPr>
            <w:tcW w:w="2122" w:type="dxa"/>
          </w:tcPr>
          <w:p w14:paraId="0CDAFBDC" w14:textId="77777777" w:rsidR="007E0043" w:rsidRPr="001D505B" w:rsidRDefault="007E0043" w:rsidP="0021047A">
            <w:r w:rsidRPr="001D505B">
              <w:lastRenderedPageBreak/>
              <w:t>What is Greater Wellington doing to address climate change in the Annual Plan</w:t>
            </w:r>
          </w:p>
        </w:tc>
        <w:tc>
          <w:tcPr>
            <w:tcW w:w="7562" w:type="dxa"/>
          </w:tcPr>
          <w:p w14:paraId="47FCD42E" w14:textId="77777777" w:rsidR="007E0043" w:rsidRDefault="007E0043" w:rsidP="0021047A">
            <w:r>
              <w:t xml:space="preserve">Greater Wellington declared a climate emergency in 2019, and </w:t>
            </w:r>
            <w:r w:rsidRPr="00F0555F">
              <w:t xml:space="preserve">Council set an ambitious target to be carbon </w:t>
            </w:r>
            <w:r>
              <w:t xml:space="preserve">positive by 2035 (absorbing more carbon dioxide than the equivalent greenhouse gases we emit). We are focused on being a low-emissions economy, supporting sustainable urban and rural development and driving critical behaviour changes. </w:t>
            </w:r>
          </w:p>
          <w:p w14:paraId="4964B776" w14:textId="77777777" w:rsidR="007E0043" w:rsidRDefault="007E0043" w:rsidP="0021047A"/>
          <w:p w14:paraId="37DF0009" w14:textId="77777777" w:rsidR="007E0043" w:rsidRDefault="007E0043" w:rsidP="0021047A">
            <w:r w:rsidRPr="05635FB2">
              <w:t xml:space="preserve">Together with </w:t>
            </w:r>
            <w:r>
              <w:t>m</w:t>
            </w:r>
            <w:r w:rsidRPr="05635FB2">
              <w:t xml:space="preserve">ana </w:t>
            </w:r>
            <w:r>
              <w:t>w</w:t>
            </w:r>
            <w:r w:rsidRPr="05635FB2">
              <w:t>henua, territorial authorities in our region, central government and a range of other organisations we will prepare for, and adapt to, the effects of climate change and natural hazards. This includes ongoing work to reduce organisational greenhouse gas emissions and build on our climate risk preparedness.</w:t>
            </w:r>
          </w:p>
          <w:p w14:paraId="01112EC4" w14:textId="77777777" w:rsidR="007E0043" w:rsidRDefault="007E0043" w:rsidP="0021047A"/>
          <w:p w14:paraId="0B3BD259" w14:textId="77777777" w:rsidR="007E0043" w:rsidRPr="001D505B" w:rsidRDefault="007E0043" w:rsidP="0021047A">
            <w:r w:rsidRPr="05635FB2">
              <w:t xml:space="preserve">We now have a clear emissions reduction pathway, focused on reducing carbon emissions from high emitting activities such as public transport, </w:t>
            </w:r>
            <w:proofErr w:type="gramStart"/>
            <w:r w:rsidRPr="05635FB2">
              <w:t>and also</w:t>
            </w:r>
            <w:proofErr w:type="gramEnd"/>
            <w:r w:rsidRPr="05635FB2">
              <w:t xml:space="preserve"> removing carbon dioxide from the atmosphere though planting trees in our Regional Parks.</w:t>
            </w:r>
          </w:p>
        </w:tc>
      </w:tr>
    </w:tbl>
    <w:p w14:paraId="7C3AFAE2" w14:textId="77777777" w:rsidR="007E0043" w:rsidRDefault="007E0043" w:rsidP="007E0043">
      <w:pPr>
        <w:pStyle w:val="GWFiller"/>
        <w:rPr>
          <w:color w:val="auto"/>
          <w:sz w:val="24"/>
          <w:szCs w:val="24"/>
        </w:rPr>
      </w:pPr>
    </w:p>
    <w:p w14:paraId="2BDC6A30" w14:textId="77777777" w:rsidR="007E0043" w:rsidRDefault="007E0043" w:rsidP="007E0043">
      <w:pPr>
        <w:sectPr w:rsidR="007E0043" w:rsidSect="004D0346">
          <w:headerReference w:type="default" r:id="rId26"/>
          <w:footerReference w:type="default" r:id="rId27"/>
          <w:headerReference w:type="first" r:id="rId28"/>
          <w:footerReference w:type="first" r:id="rId29"/>
          <w:pgSz w:w="11906" w:h="16838" w:code="9"/>
          <w:pgMar w:top="2665" w:right="851" w:bottom="2098" w:left="1361" w:header="964" w:footer="1361" w:gutter="0"/>
          <w:cols w:space="708"/>
          <w:titlePg/>
          <w:docGrid w:linePitch="360"/>
        </w:sectPr>
      </w:pPr>
    </w:p>
    <w:p w14:paraId="5D3A7EDB" w14:textId="77777777" w:rsidR="007E0043" w:rsidRDefault="007E0043" w:rsidP="007E0043"/>
    <w:p w14:paraId="6B0BC5CA" w14:textId="77777777" w:rsidR="007E0043" w:rsidRDefault="007E0043" w:rsidP="007E0043">
      <w:pPr>
        <w:rPr>
          <w:b/>
          <w:bCs/>
          <w:u w:val="single"/>
        </w:rPr>
      </w:pPr>
      <w:r>
        <w:rPr>
          <w:b/>
          <w:bCs/>
          <w:u w:val="single"/>
        </w:rPr>
        <w:t>Proposed average regional rates</w:t>
      </w:r>
    </w:p>
    <w:p w14:paraId="3DAFD35D" w14:textId="77777777" w:rsidR="007E0043" w:rsidRPr="00FD150D" w:rsidRDefault="007E0043" w:rsidP="007E0043">
      <w:pPr>
        <w:rPr>
          <w:b/>
          <w:bCs/>
          <w:u w:val="single"/>
        </w:rPr>
      </w:pPr>
    </w:p>
    <w:tbl>
      <w:tblPr>
        <w:tblW w:w="8212" w:type="dxa"/>
        <w:tblCellMar>
          <w:top w:w="15" w:type="dxa"/>
          <w:bottom w:w="15" w:type="dxa"/>
        </w:tblCellMar>
        <w:tblLook w:val="04A0" w:firstRow="1" w:lastRow="0" w:firstColumn="1" w:lastColumn="0" w:noHBand="0" w:noVBand="1"/>
      </w:tblPr>
      <w:tblGrid>
        <w:gridCol w:w="2720"/>
        <w:gridCol w:w="2820"/>
        <w:gridCol w:w="2672"/>
      </w:tblGrid>
      <w:tr w:rsidR="007E0043" w:rsidRPr="00EF5481" w14:paraId="4CF4AC4B" w14:textId="77777777" w:rsidTr="0021047A">
        <w:trPr>
          <w:trHeight w:val="780"/>
        </w:trPr>
        <w:tc>
          <w:tcPr>
            <w:tcW w:w="2720" w:type="dxa"/>
            <w:tcBorders>
              <w:top w:val="single" w:sz="8"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D4C6FBA" w14:textId="77777777" w:rsidR="007E0043" w:rsidRPr="00EF5481" w:rsidRDefault="007E0043" w:rsidP="0021047A">
            <w:pPr>
              <w:rPr>
                <w:rFonts w:ascii="Calibri" w:hAnsi="Calibri" w:cs="Calibri"/>
                <w:b/>
                <w:bCs/>
                <w:sz w:val="22"/>
                <w:szCs w:val="22"/>
                <w:lang w:eastAsia="en-NZ"/>
              </w:rPr>
            </w:pPr>
            <w:r w:rsidRPr="00EF5481">
              <w:rPr>
                <w:rFonts w:ascii="Calibri" w:hAnsi="Calibri" w:cs="Calibri"/>
                <w:b/>
                <w:bCs/>
                <w:sz w:val="22"/>
                <w:szCs w:val="22"/>
                <w:lang w:eastAsia="en-NZ"/>
              </w:rPr>
              <w:t>Average Regional Rates</w:t>
            </w:r>
          </w:p>
        </w:tc>
        <w:tc>
          <w:tcPr>
            <w:tcW w:w="2820" w:type="dxa"/>
            <w:tcBorders>
              <w:top w:val="single" w:sz="8"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866FD5A" w14:textId="77777777" w:rsidR="007E0043" w:rsidRPr="00EF5481" w:rsidRDefault="007E0043" w:rsidP="0021047A">
            <w:pPr>
              <w:rPr>
                <w:rFonts w:ascii="Aptos Narrow" w:hAnsi="Aptos Narrow"/>
                <w:color w:val="000000"/>
                <w:sz w:val="22"/>
                <w:szCs w:val="22"/>
                <w:lang w:eastAsia="en-NZ"/>
              </w:rPr>
            </w:pPr>
            <w:r w:rsidRPr="6E7EF077">
              <w:rPr>
                <w:rFonts w:ascii="Aptos Narrow" w:hAnsi="Aptos Narrow"/>
                <w:color w:val="000000" w:themeColor="text1"/>
                <w:sz w:val="22"/>
                <w:szCs w:val="22"/>
                <w:lang w:eastAsia="en-NZ"/>
              </w:rPr>
              <w:t>Average increase per annum</w:t>
            </w:r>
          </w:p>
        </w:tc>
        <w:tc>
          <w:tcPr>
            <w:tcW w:w="2672" w:type="dxa"/>
            <w:tcBorders>
              <w:top w:val="single" w:sz="8"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421223D0"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 xml:space="preserve">Average </w:t>
            </w:r>
            <w:r>
              <w:rPr>
                <w:rFonts w:ascii="Aptos Narrow" w:hAnsi="Aptos Narrow"/>
                <w:color w:val="000000"/>
                <w:sz w:val="22"/>
                <w:szCs w:val="22"/>
                <w:lang w:eastAsia="en-NZ"/>
              </w:rPr>
              <w:t xml:space="preserve">increase </w:t>
            </w:r>
            <w:r w:rsidRPr="00EF5481">
              <w:rPr>
                <w:rFonts w:ascii="Aptos Narrow" w:hAnsi="Aptos Narrow"/>
                <w:color w:val="000000"/>
                <w:sz w:val="22"/>
                <w:szCs w:val="22"/>
                <w:lang w:eastAsia="en-NZ"/>
              </w:rPr>
              <w:t>per week</w:t>
            </w:r>
          </w:p>
        </w:tc>
      </w:tr>
      <w:tr w:rsidR="007E0043" w:rsidRPr="00EF5481" w14:paraId="433AAF74" w14:textId="77777777" w:rsidTr="0021047A">
        <w:trPr>
          <w:trHeight w:val="780"/>
        </w:trPr>
        <w:tc>
          <w:tcPr>
            <w:tcW w:w="272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618288E5" w14:textId="77777777" w:rsidR="007E0043" w:rsidRPr="00EF5481" w:rsidRDefault="007E0043" w:rsidP="0021047A">
            <w:pPr>
              <w:rPr>
                <w:rFonts w:ascii="Calibri" w:hAnsi="Calibri" w:cs="Calibri"/>
                <w:b/>
                <w:bCs/>
                <w:sz w:val="22"/>
                <w:szCs w:val="22"/>
                <w:lang w:eastAsia="en-NZ"/>
              </w:rPr>
            </w:pPr>
            <w:r w:rsidRPr="00EF5481">
              <w:rPr>
                <w:rFonts w:ascii="Calibri" w:hAnsi="Calibri" w:cs="Calibri"/>
                <w:b/>
                <w:bCs/>
                <w:sz w:val="22"/>
                <w:szCs w:val="22"/>
                <w:lang w:eastAsia="en-NZ"/>
              </w:rPr>
              <w:t>Residential (incl. GST)</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67CA9640"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$66.22</w:t>
            </w:r>
          </w:p>
        </w:tc>
        <w:tc>
          <w:tcPr>
            <w:tcW w:w="2672"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61F30604"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$1.27</w:t>
            </w:r>
          </w:p>
        </w:tc>
      </w:tr>
      <w:tr w:rsidR="007E0043" w:rsidRPr="00EF5481" w14:paraId="55B62AAB" w14:textId="77777777" w:rsidTr="0021047A">
        <w:trPr>
          <w:trHeight w:val="780"/>
        </w:trPr>
        <w:tc>
          <w:tcPr>
            <w:tcW w:w="272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D69D37A" w14:textId="77777777" w:rsidR="007E0043" w:rsidRPr="00EF5481" w:rsidRDefault="007E0043" w:rsidP="0021047A">
            <w:pPr>
              <w:rPr>
                <w:rFonts w:ascii="Calibri" w:hAnsi="Calibri" w:cs="Calibri"/>
                <w:b/>
                <w:bCs/>
                <w:sz w:val="22"/>
                <w:szCs w:val="22"/>
                <w:lang w:eastAsia="en-NZ"/>
              </w:rPr>
            </w:pPr>
            <w:r w:rsidRPr="00EF5481">
              <w:rPr>
                <w:rFonts w:ascii="Calibri" w:hAnsi="Calibri" w:cs="Calibri"/>
                <w:b/>
                <w:bCs/>
                <w:sz w:val="22"/>
                <w:szCs w:val="22"/>
                <w:lang w:eastAsia="en-NZ"/>
              </w:rPr>
              <w:t>Business (excl. GST)</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1FE2BD19"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$568.76</w:t>
            </w:r>
          </w:p>
        </w:tc>
        <w:tc>
          <w:tcPr>
            <w:tcW w:w="2672" w:type="dxa"/>
            <w:tcBorders>
              <w:top w:val="single" w:sz="4" w:space="0" w:color="000000" w:themeColor="text1"/>
              <w:left w:val="single" w:sz="4" w:space="0" w:color="000000" w:themeColor="text1"/>
              <w:bottom w:val="single" w:sz="4" w:space="0" w:color="000000" w:themeColor="text1"/>
              <w:right w:val="single" w:sz="8" w:space="0" w:color="000000" w:themeColor="text1"/>
            </w:tcBorders>
            <w:noWrap/>
            <w:vAlign w:val="center"/>
            <w:hideMark/>
          </w:tcPr>
          <w:p w14:paraId="587D3063"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$10.94</w:t>
            </w:r>
          </w:p>
        </w:tc>
      </w:tr>
      <w:tr w:rsidR="007E0043" w:rsidRPr="00EF5481" w14:paraId="52AA2462" w14:textId="77777777" w:rsidTr="0021047A">
        <w:trPr>
          <w:trHeight w:val="780"/>
        </w:trPr>
        <w:tc>
          <w:tcPr>
            <w:tcW w:w="2720" w:type="dxa"/>
            <w:tcBorders>
              <w:top w:val="single" w:sz="4" w:space="0" w:color="000000" w:themeColor="text1"/>
              <w:left w:val="single" w:sz="8" w:space="0" w:color="000000" w:themeColor="text1"/>
              <w:bottom w:val="single" w:sz="8" w:space="0" w:color="000000" w:themeColor="text1"/>
              <w:right w:val="single" w:sz="4" w:space="0" w:color="000000" w:themeColor="text1"/>
            </w:tcBorders>
            <w:noWrap/>
            <w:vAlign w:val="center"/>
            <w:hideMark/>
          </w:tcPr>
          <w:p w14:paraId="488FC0C1" w14:textId="77777777" w:rsidR="007E0043" w:rsidRPr="00EF5481" w:rsidRDefault="007E0043" w:rsidP="0021047A">
            <w:pPr>
              <w:rPr>
                <w:rFonts w:ascii="Calibri" w:hAnsi="Calibri" w:cs="Calibri"/>
                <w:b/>
                <w:bCs/>
                <w:sz w:val="22"/>
                <w:szCs w:val="22"/>
                <w:lang w:eastAsia="en-NZ"/>
              </w:rPr>
            </w:pPr>
            <w:r w:rsidRPr="00EF5481">
              <w:rPr>
                <w:rFonts w:ascii="Calibri" w:hAnsi="Calibri" w:cs="Calibri"/>
                <w:b/>
                <w:bCs/>
                <w:sz w:val="22"/>
                <w:szCs w:val="22"/>
                <w:lang w:eastAsia="en-NZ"/>
              </w:rPr>
              <w:t>Rural (excl. GST)</w:t>
            </w:r>
          </w:p>
        </w:tc>
        <w:tc>
          <w:tcPr>
            <w:tcW w:w="2820" w:type="dxa"/>
            <w:tcBorders>
              <w:top w:val="single" w:sz="4" w:space="0" w:color="000000" w:themeColor="text1"/>
              <w:left w:val="single" w:sz="4" w:space="0" w:color="000000" w:themeColor="text1"/>
              <w:bottom w:val="single" w:sz="8" w:space="0" w:color="000000" w:themeColor="text1"/>
              <w:right w:val="single" w:sz="4" w:space="0" w:color="000000" w:themeColor="text1"/>
            </w:tcBorders>
            <w:noWrap/>
            <w:vAlign w:val="center"/>
            <w:hideMark/>
          </w:tcPr>
          <w:p w14:paraId="4DE295C3"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$80.25</w:t>
            </w:r>
          </w:p>
        </w:tc>
        <w:tc>
          <w:tcPr>
            <w:tcW w:w="2672" w:type="dxa"/>
            <w:tcBorders>
              <w:top w:val="single" w:sz="4" w:space="0" w:color="000000" w:themeColor="text1"/>
              <w:left w:val="single" w:sz="4" w:space="0" w:color="000000" w:themeColor="text1"/>
              <w:bottom w:val="single" w:sz="8" w:space="0" w:color="000000" w:themeColor="text1"/>
              <w:right w:val="single" w:sz="8" w:space="0" w:color="000000" w:themeColor="text1"/>
            </w:tcBorders>
            <w:noWrap/>
            <w:vAlign w:val="center"/>
            <w:hideMark/>
          </w:tcPr>
          <w:p w14:paraId="08983807" w14:textId="77777777" w:rsidR="007E0043" w:rsidRPr="00EF5481" w:rsidRDefault="007E0043" w:rsidP="0021047A">
            <w:pPr>
              <w:rPr>
                <w:rFonts w:ascii="Aptos Narrow" w:hAnsi="Aptos Narrow"/>
                <w:color w:val="000000"/>
                <w:sz w:val="22"/>
                <w:szCs w:val="22"/>
                <w:lang w:eastAsia="en-NZ"/>
              </w:rPr>
            </w:pPr>
            <w:r w:rsidRPr="00EF5481">
              <w:rPr>
                <w:rFonts w:ascii="Aptos Narrow" w:hAnsi="Aptos Narrow"/>
                <w:color w:val="000000"/>
                <w:sz w:val="22"/>
                <w:szCs w:val="22"/>
                <w:lang w:eastAsia="en-NZ"/>
              </w:rPr>
              <w:t>$1.54</w:t>
            </w:r>
          </w:p>
        </w:tc>
      </w:tr>
    </w:tbl>
    <w:p w14:paraId="64429426" w14:textId="77777777" w:rsidR="007E0043" w:rsidRDefault="007E0043" w:rsidP="007E0043">
      <w:pPr>
        <w:rPr>
          <w:b/>
          <w:bCs/>
          <w:u w:val="single"/>
        </w:rPr>
      </w:pPr>
    </w:p>
    <w:p w14:paraId="693A59C2" w14:textId="77777777" w:rsidR="007E0043" w:rsidRPr="00FD150D" w:rsidRDefault="007E0043" w:rsidP="007E0043">
      <w:pPr>
        <w:rPr>
          <w:b/>
          <w:bCs/>
          <w:u w:val="single"/>
        </w:rPr>
      </w:pPr>
      <w:r>
        <w:rPr>
          <w:b/>
          <w:bCs/>
          <w:u w:val="single"/>
        </w:rPr>
        <w:t>Breakdown by region</w:t>
      </w:r>
    </w:p>
    <w:tbl>
      <w:tblPr>
        <w:tblW w:w="14422" w:type="dxa"/>
        <w:tblLook w:val="04A0" w:firstRow="1" w:lastRow="0" w:firstColumn="1" w:lastColumn="0" w:noHBand="0" w:noVBand="1"/>
      </w:tblPr>
      <w:tblGrid>
        <w:gridCol w:w="2720"/>
        <w:gridCol w:w="2820"/>
        <w:gridCol w:w="2080"/>
        <w:gridCol w:w="2760"/>
        <w:gridCol w:w="2580"/>
        <w:gridCol w:w="1240"/>
        <w:gridCol w:w="222"/>
      </w:tblGrid>
      <w:tr w:rsidR="007E0043" w:rsidRPr="00A14298" w14:paraId="4F10D18F" w14:textId="77777777" w:rsidTr="0021047A">
        <w:trPr>
          <w:gridAfter w:val="1"/>
          <w:wAfter w:w="222" w:type="dxa"/>
          <w:trHeight w:val="383"/>
        </w:trPr>
        <w:tc>
          <w:tcPr>
            <w:tcW w:w="2720" w:type="dxa"/>
            <w:tcBorders>
              <w:top w:val="nil"/>
              <w:left w:val="nil"/>
              <w:bottom w:val="nil"/>
              <w:right w:val="nil"/>
            </w:tcBorders>
            <w:shd w:val="clear" w:color="auto" w:fill="auto"/>
            <w:noWrap/>
            <w:vAlign w:val="center"/>
            <w:hideMark/>
          </w:tcPr>
          <w:p w14:paraId="7E924D27" w14:textId="77777777" w:rsidR="007E0043" w:rsidRPr="00A14298" w:rsidRDefault="007E0043" w:rsidP="0021047A">
            <w:pPr>
              <w:rPr>
                <w:rFonts w:ascii="Calibri" w:hAnsi="Calibri" w:cs="Calibri"/>
                <w:b/>
                <w:bCs/>
                <w:sz w:val="22"/>
                <w:szCs w:val="22"/>
                <w:lang w:eastAsia="en-NZ"/>
              </w:rPr>
            </w:pPr>
          </w:p>
        </w:tc>
        <w:tc>
          <w:tcPr>
            <w:tcW w:w="2820" w:type="dxa"/>
            <w:tcBorders>
              <w:top w:val="nil"/>
              <w:left w:val="nil"/>
              <w:bottom w:val="nil"/>
              <w:right w:val="nil"/>
            </w:tcBorders>
            <w:shd w:val="clear" w:color="auto" w:fill="auto"/>
            <w:noWrap/>
            <w:vAlign w:val="bottom"/>
            <w:hideMark/>
          </w:tcPr>
          <w:p w14:paraId="4DA6BDAA" w14:textId="77777777" w:rsidR="007E0043" w:rsidRPr="00A14298" w:rsidRDefault="007E0043" w:rsidP="0021047A">
            <w:pPr>
              <w:rPr>
                <w:rFonts w:ascii="Calibri" w:hAnsi="Calibri" w:cs="Calibri"/>
                <w:b/>
                <w:bCs/>
                <w:sz w:val="22"/>
                <w:szCs w:val="22"/>
                <w:lang w:eastAsia="en-NZ"/>
              </w:rPr>
            </w:pPr>
          </w:p>
        </w:tc>
        <w:tc>
          <w:tcPr>
            <w:tcW w:w="2080" w:type="dxa"/>
            <w:tcBorders>
              <w:top w:val="nil"/>
              <w:left w:val="nil"/>
              <w:bottom w:val="nil"/>
              <w:right w:val="nil"/>
            </w:tcBorders>
            <w:shd w:val="clear" w:color="auto" w:fill="auto"/>
            <w:noWrap/>
            <w:vAlign w:val="bottom"/>
            <w:hideMark/>
          </w:tcPr>
          <w:p w14:paraId="10C6FD33" w14:textId="77777777" w:rsidR="007E0043" w:rsidRPr="00A14298" w:rsidRDefault="007E0043" w:rsidP="0021047A">
            <w:pPr>
              <w:rPr>
                <w:rFonts w:ascii="Times New Roman" w:hAnsi="Times New Roman"/>
                <w:sz w:val="20"/>
                <w:lang w:eastAsia="en-NZ"/>
              </w:rPr>
            </w:pPr>
          </w:p>
        </w:tc>
        <w:tc>
          <w:tcPr>
            <w:tcW w:w="2760" w:type="dxa"/>
            <w:tcBorders>
              <w:top w:val="nil"/>
              <w:left w:val="nil"/>
              <w:bottom w:val="nil"/>
              <w:right w:val="nil"/>
            </w:tcBorders>
            <w:shd w:val="clear" w:color="auto" w:fill="auto"/>
            <w:noWrap/>
            <w:vAlign w:val="bottom"/>
            <w:hideMark/>
          </w:tcPr>
          <w:p w14:paraId="3CEC4A38" w14:textId="77777777" w:rsidR="007E0043" w:rsidRPr="00A14298" w:rsidRDefault="007E0043" w:rsidP="0021047A">
            <w:pPr>
              <w:rPr>
                <w:rFonts w:ascii="Aptos Narrow" w:hAnsi="Aptos Narrow"/>
                <w:color w:val="000000"/>
                <w:sz w:val="22"/>
                <w:szCs w:val="22"/>
                <w:lang w:eastAsia="en-NZ"/>
              </w:rPr>
            </w:pPr>
          </w:p>
        </w:tc>
        <w:tc>
          <w:tcPr>
            <w:tcW w:w="2580" w:type="dxa"/>
            <w:tcBorders>
              <w:top w:val="nil"/>
              <w:left w:val="nil"/>
              <w:bottom w:val="nil"/>
              <w:right w:val="nil"/>
            </w:tcBorders>
            <w:shd w:val="clear" w:color="auto" w:fill="auto"/>
            <w:noWrap/>
            <w:vAlign w:val="bottom"/>
            <w:hideMark/>
          </w:tcPr>
          <w:p w14:paraId="4FE82521" w14:textId="77777777" w:rsidR="007E0043" w:rsidRPr="00A14298" w:rsidRDefault="007E0043" w:rsidP="0021047A">
            <w:pPr>
              <w:rPr>
                <w:rFonts w:ascii="Aptos Narrow" w:hAnsi="Aptos Narrow"/>
                <w:color w:val="000000"/>
                <w:sz w:val="22"/>
                <w:szCs w:val="22"/>
                <w:lang w:eastAsia="en-NZ"/>
              </w:rPr>
            </w:pPr>
          </w:p>
        </w:tc>
        <w:tc>
          <w:tcPr>
            <w:tcW w:w="1240" w:type="dxa"/>
            <w:tcBorders>
              <w:top w:val="nil"/>
              <w:left w:val="nil"/>
              <w:bottom w:val="nil"/>
              <w:right w:val="nil"/>
            </w:tcBorders>
            <w:shd w:val="clear" w:color="auto" w:fill="auto"/>
            <w:noWrap/>
            <w:vAlign w:val="bottom"/>
            <w:hideMark/>
          </w:tcPr>
          <w:p w14:paraId="17E53437" w14:textId="77777777" w:rsidR="007E0043" w:rsidRPr="00A14298" w:rsidRDefault="007E0043" w:rsidP="0021047A">
            <w:pPr>
              <w:rPr>
                <w:rFonts w:ascii="Times New Roman" w:hAnsi="Times New Roman"/>
                <w:sz w:val="20"/>
                <w:lang w:eastAsia="en-NZ"/>
              </w:rPr>
            </w:pPr>
          </w:p>
        </w:tc>
      </w:tr>
      <w:tr w:rsidR="007E0043" w:rsidRPr="00A14298" w14:paraId="3378E8CA" w14:textId="77777777" w:rsidTr="0021047A">
        <w:trPr>
          <w:gridAfter w:val="1"/>
          <w:wAfter w:w="222" w:type="dxa"/>
          <w:trHeight w:val="499"/>
        </w:trPr>
        <w:tc>
          <w:tcPr>
            <w:tcW w:w="5540" w:type="dxa"/>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534441E6"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Wellington City Average Rates</w:t>
            </w:r>
          </w:p>
        </w:tc>
        <w:tc>
          <w:tcPr>
            <w:tcW w:w="20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CA1046B"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Average </w:t>
            </w:r>
            <w:r>
              <w:rPr>
                <w:rFonts w:ascii="Calibri" w:hAnsi="Calibri" w:cs="Calibri"/>
                <w:b/>
                <w:bCs/>
                <w:sz w:val="20"/>
                <w:lang w:eastAsia="en-NZ"/>
              </w:rPr>
              <w:t xml:space="preserve">Rates </w:t>
            </w:r>
            <w:r w:rsidRPr="00A14298">
              <w:rPr>
                <w:rFonts w:ascii="Calibri" w:hAnsi="Calibri" w:cs="Calibri"/>
                <w:b/>
                <w:bCs/>
                <w:sz w:val="20"/>
                <w:lang w:eastAsia="en-NZ"/>
              </w:rPr>
              <w:t>2025/26</w:t>
            </w:r>
          </w:p>
        </w:tc>
        <w:tc>
          <w:tcPr>
            <w:tcW w:w="276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8338457"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annum</w:t>
            </w:r>
          </w:p>
        </w:tc>
        <w:tc>
          <w:tcPr>
            <w:tcW w:w="25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B68E707"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week</w:t>
            </w:r>
          </w:p>
        </w:tc>
        <w:tc>
          <w:tcPr>
            <w:tcW w:w="124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0273E731"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Increase %</w:t>
            </w:r>
          </w:p>
        </w:tc>
      </w:tr>
      <w:tr w:rsidR="007E0043" w:rsidRPr="00A14298" w14:paraId="74FBD037" w14:textId="77777777" w:rsidTr="0021047A">
        <w:trPr>
          <w:trHeight w:val="315"/>
        </w:trPr>
        <w:tc>
          <w:tcPr>
            <w:tcW w:w="5540" w:type="dxa"/>
            <w:gridSpan w:val="2"/>
            <w:vMerge/>
            <w:vAlign w:val="center"/>
            <w:hideMark/>
          </w:tcPr>
          <w:p w14:paraId="40876ABF" w14:textId="77777777" w:rsidR="007E0043" w:rsidRPr="00A14298" w:rsidRDefault="007E0043" w:rsidP="0021047A">
            <w:pPr>
              <w:rPr>
                <w:rFonts w:ascii="Calibri" w:hAnsi="Calibri" w:cs="Calibri"/>
                <w:b/>
                <w:bCs/>
                <w:sz w:val="20"/>
                <w:lang w:eastAsia="en-NZ"/>
              </w:rPr>
            </w:pPr>
          </w:p>
        </w:tc>
        <w:tc>
          <w:tcPr>
            <w:tcW w:w="2080" w:type="dxa"/>
            <w:vMerge/>
            <w:vAlign w:val="center"/>
            <w:hideMark/>
          </w:tcPr>
          <w:p w14:paraId="2616F84E" w14:textId="77777777" w:rsidR="007E0043" w:rsidRPr="00A14298" w:rsidRDefault="007E0043" w:rsidP="0021047A">
            <w:pPr>
              <w:rPr>
                <w:rFonts w:ascii="Calibri" w:hAnsi="Calibri" w:cs="Calibri"/>
                <w:b/>
                <w:bCs/>
                <w:sz w:val="20"/>
                <w:lang w:eastAsia="en-NZ"/>
              </w:rPr>
            </w:pPr>
          </w:p>
        </w:tc>
        <w:tc>
          <w:tcPr>
            <w:tcW w:w="2760" w:type="dxa"/>
            <w:vMerge/>
            <w:vAlign w:val="center"/>
            <w:hideMark/>
          </w:tcPr>
          <w:p w14:paraId="5A4096C9" w14:textId="77777777" w:rsidR="007E0043" w:rsidRPr="00A14298" w:rsidRDefault="007E0043" w:rsidP="0021047A">
            <w:pPr>
              <w:rPr>
                <w:rFonts w:ascii="Calibri" w:hAnsi="Calibri" w:cs="Calibri"/>
                <w:b/>
                <w:bCs/>
                <w:sz w:val="20"/>
                <w:lang w:eastAsia="en-NZ"/>
              </w:rPr>
            </w:pPr>
          </w:p>
        </w:tc>
        <w:tc>
          <w:tcPr>
            <w:tcW w:w="2580" w:type="dxa"/>
            <w:vMerge/>
            <w:vAlign w:val="center"/>
            <w:hideMark/>
          </w:tcPr>
          <w:p w14:paraId="7AE57DAC" w14:textId="77777777" w:rsidR="007E0043" w:rsidRPr="00A14298" w:rsidRDefault="007E0043" w:rsidP="0021047A">
            <w:pPr>
              <w:rPr>
                <w:rFonts w:ascii="Calibri" w:hAnsi="Calibri" w:cs="Calibri"/>
                <w:b/>
                <w:bCs/>
                <w:sz w:val="20"/>
                <w:lang w:eastAsia="en-NZ"/>
              </w:rPr>
            </w:pPr>
          </w:p>
        </w:tc>
        <w:tc>
          <w:tcPr>
            <w:tcW w:w="1240" w:type="dxa"/>
            <w:vMerge/>
            <w:vAlign w:val="center"/>
            <w:hideMark/>
          </w:tcPr>
          <w:p w14:paraId="51133BD3" w14:textId="77777777" w:rsidR="007E0043" w:rsidRPr="00A14298" w:rsidRDefault="007E0043" w:rsidP="0021047A">
            <w:pPr>
              <w:rPr>
                <w:rFonts w:ascii="Calibri" w:hAnsi="Calibri" w:cs="Calibri"/>
                <w:b/>
                <w:bCs/>
                <w:sz w:val="20"/>
                <w:lang w:eastAsia="en-NZ"/>
              </w:rPr>
            </w:pPr>
          </w:p>
        </w:tc>
        <w:tc>
          <w:tcPr>
            <w:tcW w:w="222" w:type="dxa"/>
            <w:tcBorders>
              <w:top w:val="nil"/>
              <w:left w:val="nil"/>
              <w:bottom w:val="nil"/>
              <w:right w:val="nil"/>
            </w:tcBorders>
            <w:shd w:val="clear" w:color="auto" w:fill="auto"/>
            <w:noWrap/>
            <w:vAlign w:val="bottom"/>
            <w:hideMark/>
          </w:tcPr>
          <w:p w14:paraId="69EAEFBB" w14:textId="77777777" w:rsidR="007E0043" w:rsidRPr="00A14298" w:rsidRDefault="007E0043" w:rsidP="0021047A">
            <w:pPr>
              <w:rPr>
                <w:rFonts w:ascii="Calibri" w:hAnsi="Calibri" w:cs="Calibri"/>
                <w:b/>
                <w:bCs/>
                <w:sz w:val="20"/>
                <w:lang w:eastAsia="en-NZ"/>
              </w:rPr>
            </w:pPr>
          </w:p>
        </w:tc>
      </w:tr>
      <w:tr w:rsidR="007E0043" w:rsidRPr="00A14298" w14:paraId="30B3ACF6" w14:textId="77777777" w:rsidTr="0021047A">
        <w:trPr>
          <w:trHeight w:val="30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7B6FD4C6" w14:textId="77777777" w:rsidR="007E0043" w:rsidRPr="00BF3FFA" w:rsidRDefault="007E0043" w:rsidP="0021047A">
            <w:pPr>
              <w:rPr>
                <w:rFonts w:ascii="Calibri" w:hAnsi="Calibri" w:cs="Calibri"/>
                <w:b/>
                <w:bCs/>
                <w:sz w:val="20"/>
                <w:lang w:eastAsia="en-NZ"/>
              </w:rPr>
            </w:pPr>
            <w:r w:rsidRPr="00BF3FFA">
              <w:rPr>
                <w:rFonts w:ascii="Calibri" w:hAnsi="Calibri" w:cs="Calibri"/>
                <w:b/>
                <w:bCs/>
                <w:sz w:val="20"/>
                <w:lang w:eastAsia="en-NZ"/>
              </w:rPr>
              <w:t>Residential (incl. GST)</w:t>
            </w:r>
          </w:p>
        </w:tc>
        <w:tc>
          <w:tcPr>
            <w:tcW w:w="2820" w:type="dxa"/>
            <w:tcBorders>
              <w:top w:val="nil"/>
              <w:left w:val="nil"/>
              <w:bottom w:val="single" w:sz="8" w:space="0" w:color="auto"/>
              <w:right w:val="single" w:sz="8" w:space="0" w:color="auto"/>
            </w:tcBorders>
            <w:shd w:val="clear" w:color="auto" w:fill="auto"/>
            <w:vAlign w:val="center"/>
            <w:hideMark/>
          </w:tcPr>
          <w:p w14:paraId="0C42A772"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Wellington City</w:t>
            </w:r>
          </w:p>
        </w:tc>
        <w:tc>
          <w:tcPr>
            <w:tcW w:w="2080" w:type="dxa"/>
            <w:tcBorders>
              <w:top w:val="nil"/>
              <w:left w:val="nil"/>
              <w:bottom w:val="single" w:sz="8" w:space="0" w:color="auto"/>
              <w:right w:val="single" w:sz="8" w:space="0" w:color="auto"/>
            </w:tcBorders>
            <w:shd w:val="clear" w:color="auto" w:fill="auto"/>
            <w:vAlign w:val="center"/>
            <w:hideMark/>
          </w:tcPr>
          <w:p w14:paraId="741E6919"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$1,198.88</w:t>
            </w:r>
          </w:p>
        </w:tc>
        <w:tc>
          <w:tcPr>
            <w:tcW w:w="2760" w:type="dxa"/>
            <w:tcBorders>
              <w:top w:val="nil"/>
              <w:left w:val="nil"/>
              <w:bottom w:val="single" w:sz="8" w:space="0" w:color="auto"/>
              <w:right w:val="single" w:sz="8" w:space="0" w:color="auto"/>
            </w:tcBorders>
            <w:shd w:val="clear" w:color="auto" w:fill="auto"/>
            <w:vAlign w:val="center"/>
            <w:hideMark/>
          </w:tcPr>
          <w:p w14:paraId="4DB2D61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$21.16</w:t>
            </w:r>
          </w:p>
        </w:tc>
        <w:tc>
          <w:tcPr>
            <w:tcW w:w="2580" w:type="dxa"/>
            <w:tcBorders>
              <w:top w:val="nil"/>
              <w:left w:val="nil"/>
              <w:bottom w:val="single" w:sz="8" w:space="0" w:color="auto"/>
              <w:right w:val="single" w:sz="8" w:space="0" w:color="auto"/>
            </w:tcBorders>
            <w:shd w:val="clear" w:color="auto" w:fill="auto"/>
            <w:vAlign w:val="center"/>
            <w:hideMark/>
          </w:tcPr>
          <w:p w14:paraId="60CD4EC8"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$0.41</w:t>
            </w:r>
          </w:p>
        </w:tc>
        <w:tc>
          <w:tcPr>
            <w:tcW w:w="1240" w:type="dxa"/>
            <w:tcBorders>
              <w:top w:val="nil"/>
              <w:left w:val="nil"/>
              <w:bottom w:val="single" w:sz="8" w:space="0" w:color="auto"/>
              <w:right w:val="single" w:sz="8" w:space="0" w:color="auto"/>
            </w:tcBorders>
            <w:shd w:val="clear" w:color="auto" w:fill="auto"/>
            <w:vAlign w:val="center"/>
            <w:hideMark/>
          </w:tcPr>
          <w:p w14:paraId="3F544199"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1.8%</w:t>
            </w:r>
          </w:p>
        </w:tc>
        <w:tc>
          <w:tcPr>
            <w:tcW w:w="222" w:type="dxa"/>
            <w:vAlign w:val="center"/>
            <w:hideMark/>
          </w:tcPr>
          <w:p w14:paraId="1E65567D" w14:textId="77777777" w:rsidR="007E0043" w:rsidRPr="00A14298" w:rsidRDefault="007E0043" w:rsidP="0021047A">
            <w:pPr>
              <w:rPr>
                <w:rFonts w:ascii="Times New Roman" w:hAnsi="Times New Roman"/>
                <w:sz w:val="20"/>
                <w:lang w:eastAsia="en-NZ"/>
              </w:rPr>
            </w:pPr>
          </w:p>
        </w:tc>
      </w:tr>
      <w:tr w:rsidR="007E0043" w:rsidRPr="00A14298" w14:paraId="69FE72CB" w14:textId="77777777" w:rsidTr="0021047A">
        <w:trPr>
          <w:trHeight w:val="300"/>
        </w:trPr>
        <w:tc>
          <w:tcPr>
            <w:tcW w:w="2720" w:type="dxa"/>
            <w:tcBorders>
              <w:top w:val="nil"/>
              <w:left w:val="single" w:sz="8" w:space="0" w:color="auto"/>
              <w:bottom w:val="nil"/>
              <w:right w:val="single" w:sz="8" w:space="0" w:color="auto"/>
            </w:tcBorders>
            <w:shd w:val="clear" w:color="auto" w:fill="auto"/>
            <w:vAlign w:val="center"/>
            <w:hideMark/>
          </w:tcPr>
          <w:p w14:paraId="77FF3201"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Business </w:t>
            </w:r>
          </w:p>
        </w:tc>
        <w:tc>
          <w:tcPr>
            <w:tcW w:w="2820" w:type="dxa"/>
            <w:tcBorders>
              <w:top w:val="nil"/>
              <w:left w:val="nil"/>
              <w:bottom w:val="single" w:sz="8" w:space="0" w:color="auto"/>
              <w:right w:val="single" w:sz="8" w:space="0" w:color="auto"/>
            </w:tcBorders>
            <w:shd w:val="clear" w:color="auto" w:fill="auto"/>
            <w:vAlign w:val="center"/>
            <w:hideMark/>
          </w:tcPr>
          <w:p w14:paraId="142E4BFF"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Wellington City</w:t>
            </w:r>
          </w:p>
        </w:tc>
        <w:tc>
          <w:tcPr>
            <w:tcW w:w="2080" w:type="dxa"/>
            <w:tcBorders>
              <w:top w:val="nil"/>
              <w:left w:val="nil"/>
              <w:bottom w:val="single" w:sz="8" w:space="0" w:color="auto"/>
              <w:right w:val="single" w:sz="8" w:space="0" w:color="auto"/>
            </w:tcBorders>
            <w:shd w:val="clear" w:color="auto" w:fill="auto"/>
            <w:vAlign w:val="center"/>
            <w:hideMark/>
          </w:tcPr>
          <w:p w14:paraId="4F264463"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$2,815.05</w:t>
            </w:r>
          </w:p>
        </w:tc>
        <w:tc>
          <w:tcPr>
            <w:tcW w:w="2760" w:type="dxa"/>
            <w:tcBorders>
              <w:top w:val="nil"/>
              <w:left w:val="nil"/>
              <w:bottom w:val="single" w:sz="8" w:space="0" w:color="auto"/>
              <w:right w:val="single" w:sz="8" w:space="0" w:color="auto"/>
            </w:tcBorders>
            <w:shd w:val="clear" w:color="auto" w:fill="auto"/>
            <w:vAlign w:val="center"/>
            <w:hideMark/>
          </w:tcPr>
          <w:p w14:paraId="0A1A6023"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$253.58</w:t>
            </w:r>
          </w:p>
        </w:tc>
        <w:tc>
          <w:tcPr>
            <w:tcW w:w="2580" w:type="dxa"/>
            <w:tcBorders>
              <w:top w:val="nil"/>
              <w:left w:val="nil"/>
              <w:bottom w:val="single" w:sz="8" w:space="0" w:color="auto"/>
              <w:right w:val="single" w:sz="8" w:space="0" w:color="auto"/>
            </w:tcBorders>
            <w:shd w:val="clear" w:color="auto" w:fill="auto"/>
            <w:vAlign w:val="center"/>
            <w:hideMark/>
          </w:tcPr>
          <w:p w14:paraId="30E6CDD9"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$4.88</w:t>
            </w:r>
          </w:p>
        </w:tc>
        <w:tc>
          <w:tcPr>
            <w:tcW w:w="1240" w:type="dxa"/>
            <w:tcBorders>
              <w:top w:val="nil"/>
              <w:left w:val="nil"/>
              <w:bottom w:val="single" w:sz="8" w:space="0" w:color="auto"/>
              <w:right w:val="single" w:sz="8" w:space="0" w:color="auto"/>
            </w:tcBorders>
            <w:shd w:val="clear" w:color="auto" w:fill="auto"/>
            <w:vAlign w:val="center"/>
            <w:hideMark/>
          </w:tcPr>
          <w:p w14:paraId="2173BAFA"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9.9%</w:t>
            </w:r>
          </w:p>
        </w:tc>
        <w:tc>
          <w:tcPr>
            <w:tcW w:w="222" w:type="dxa"/>
            <w:vAlign w:val="center"/>
            <w:hideMark/>
          </w:tcPr>
          <w:p w14:paraId="6FD8C4AF" w14:textId="77777777" w:rsidR="007E0043" w:rsidRPr="00A14298" w:rsidRDefault="007E0043" w:rsidP="0021047A">
            <w:pPr>
              <w:rPr>
                <w:rFonts w:ascii="Times New Roman" w:hAnsi="Times New Roman"/>
                <w:sz w:val="20"/>
                <w:lang w:eastAsia="en-NZ"/>
              </w:rPr>
            </w:pPr>
          </w:p>
        </w:tc>
      </w:tr>
      <w:tr w:rsidR="007E0043" w:rsidRPr="00A14298" w14:paraId="7D51F49E" w14:textId="77777777" w:rsidTr="0021047A">
        <w:trPr>
          <w:trHeight w:val="300"/>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6186D473"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(excl. GST)</w:t>
            </w:r>
          </w:p>
        </w:tc>
        <w:tc>
          <w:tcPr>
            <w:tcW w:w="2820" w:type="dxa"/>
            <w:tcBorders>
              <w:top w:val="nil"/>
              <w:left w:val="nil"/>
              <w:bottom w:val="single" w:sz="8" w:space="0" w:color="auto"/>
              <w:right w:val="single" w:sz="8" w:space="0" w:color="auto"/>
            </w:tcBorders>
            <w:shd w:val="clear" w:color="auto" w:fill="auto"/>
            <w:vAlign w:val="center"/>
            <w:hideMark/>
          </w:tcPr>
          <w:p w14:paraId="0C911F8A"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Wellington City – CBD</w:t>
            </w:r>
          </w:p>
        </w:tc>
        <w:tc>
          <w:tcPr>
            <w:tcW w:w="2080" w:type="dxa"/>
            <w:tcBorders>
              <w:top w:val="nil"/>
              <w:left w:val="nil"/>
              <w:bottom w:val="single" w:sz="8" w:space="0" w:color="auto"/>
              <w:right w:val="single" w:sz="8" w:space="0" w:color="auto"/>
            </w:tcBorders>
            <w:shd w:val="clear" w:color="auto" w:fill="auto"/>
            <w:vAlign w:val="center"/>
            <w:hideMark/>
          </w:tcPr>
          <w:p w14:paraId="3673A9DB"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$16,720.06</w:t>
            </w:r>
          </w:p>
        </w:tc>
        <w:tc>
          <w:tcPr>
            <w:tcW w:w="2760" w:type="dxa"/>
            <w:tcBorders>
              <w:top w:val="nil"/>
              <w:left w:val="nil"/>
              <w:bottom w:val="single" w:sz="8" w:space="0" w:color="auto"/>
              <w:right w:val="single" w:sz="8" w:space="0" w:color="auto"/>
            </w:tcBorders>
            <w:shd w:val="clear" w:color="auto" w:fill="auto"/>
            <w:vAlign w:val="center"/>
            <w:hideMark/>
          </w:tcPr>
          <w:p w14:paraId="0E47FD4B"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$1,455.46</w:t>
            </w:r>
          </w:p>
        </w:tc>
        <w:tc>
          <w:tcPr>
            <w:tcW w:w="2580" w:type="dxa"/>
            <w:tcBorders>
              <w:top w:val="nil"/>
              <w:left w:val="nil"/>
              <w:bottom w:val="single" w:sz="8" w:space="0" w:color="auto"/>
              <w:right w:val="single" w:sz="8" w:space="0" w:color="auto"/>
            </w:tcBorders>
            <w:shd w:val="clear" w:color="auto" w:fill="auto"/>
            <w:vAlign w:val="center"/>
            <w:hideMark/>
          </w:tcPr>
          <w:p w14:paraId="7ACCEBB4"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$27.99</w:t>
            </w:r>
          </w:p>
        </w:tc>
        <w:tc>
          <w:tcPr>
            <w:tcW w:w="1240" w:type="dxa"/>
            <w:tcBorders>
              <w:top w:val="nil"/>
              <w:left w:val="nil"/>
              <w:bottom w:val="single" w:sz="8" w:space="0" w:color="auto"/>
              <w:right w:val="single" w:sz="8" w:space="0" w:color="auto"/>
            </w:tcBorders>
            <w:shd w:val="clear" w:color="auto" w:fill="auto"/>
            <w:vAlign w:val="center"/>
            <w:hideMark/>
          </w:tcPr>
          <w:p w14:paraId="227B40D8"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9.5%</w:t>
            </w:r>
          </w:p>
        </w:tc>
        <w:tc>
          <w:tcPr>
            <w:tcW w:w="222" w:type="dxa"/>
            <w:vAlign w:val="center"/>
            <w:hideMark/>
          </w:tcPr>
          <w:p w14:paraId="6D735A09" w14:textId="77777777" w:rsidR="007E0043" w:rsidRPr="00A14298" w:rsidRDefault="007E0043" w:rsidP="0021047A">
            <w:pPr>
              <w:rPr>
                <w:rFonts w:ascii="Times New Roman" w:hAnsi="Times New Roman"/>
                <w:sz w:val="20"/>
                <w:lang w:eastAsia="en-NZ"/>
              </w:rPr>
            </w:pPr>
          </w:p>
        </w:tc>
      </w:tr>
      <w:tr w:rsidR="007E0043" w:rsidRPr="00A14298" w14:paraId="2A35B564"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4C223A39"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Rural (excl. GST)</w:t>
            </w:r>
          </w:p>
        </w:tc>
        <w:tc>
          <w:tcPr>
            <w:tcW w:w="2820" w:type="dxa"/>
            <w:tcBorders>
              <w:top w:val="nil"/>
              <w:left w:val="nil"/>
              <w:bottom w:val="single" w:sz="8" w:space="0" w:color="auto"/>
              <w:right w:val="single" w:sz="8" w:space="0" w:color="auto"/>
            </w:tcBorders>
            <w:shd w:val="clear" w:color="auto" w:fill="auto"/>
            <w:vAlign w:val="center"/>
            <w:hideMark/>
          </w:tcPr>
          <w:p w14:paraId="58207B0A"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Wellington City</w:t>
            </w:r>
          </w:p>
        </w:tc>
        <w:tc>
          <w:tcPr>
            <w:tcW w:w="2080" w:type="dxa"/>
            <w:tcBorders>
              <w:top w:val="nil"/>
              <w:left w:val="nil"/>
              <w:bottom w:val="single" w:sz="8" w:space="0" w:color="auto"/>
              <w:right w:val="single" w:sz="8" w:space="0" w:color="auto"/>
            </w:tcBorders>
            <w:shd w:val="clear" w:color="auto" w:fill="auto"/>
            <w:vAlign w:val="center"/>
            <w:hideMark/>
          </w:tcPr>
          <w:p w14:paraId="711D22C5"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$903.94</w:t>
            </w:r>
          </w:p>
        </w:tc>
        <w:tc>
          <w:tcPr>
            <w:tcW w:w="2760" w:type="dxa"/>
            <w:tcBorders>
              <w:top w:val="nil"/>
              <w:left w:val="nil"/>
              <w:bottom w:val="single" w:sz="8" w:space="0" w:color="auto"/>
              <w:right w:val="single" w:sz="8" w:space="0" w:color="auto"/>
            </w:tcBorders>
            <w:shd w:val="clear" w:color="auto" w:fill="auto"/>
            <w:vAlign w:val="center"/>
            <w:hideMark/>
          </w:tcPr>
          <w:p w14:paraId="05CBCE3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$138.26</w:t>
            </w:r>
          </w:p>
        </w:tc>
        <w:tc>
          <w:tcPr>
            <w:tcW w:w="2580" w:type="dxa"/>
            <w:tcBorders>
              <w:top w:val="nil"/>
              <w:left w:val="nil"/>
              <w:bottom w:val="single" w:sz="8" w:space="0" w:color="auto"/>
              <w:right w:val="single" w:sz="8" w:space="0" w:color="auto"/>
            </w:tcBorders>
            <w:shd w:val="clear" w:color="auto" w:fill="auto"/>
            <w:vAlign w:val="center"/>
            <w:hideMark/>
          </w:tcPr>
          <w:p w14:paraId="76B3B893"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$2.66</w:t>
            </w:r>
          </w:p>
        </w:tc>
        <w:tc>
          <w:tcPr>
            <w:tcW w:w="1240" w:type="dxa"/>
            <w:tcBorders>
              <w:top w:val="nil"/>
              <w:left w:val="nil"/>
              <w:bottom w:val="single" w:sz="8" w:space="0" w:color="auto"/>
              <w:right w:val="single" w:sz="8" w:space="0" w:color="auto"/>
            </w:tcBorders>
            <w:shd w:val="clear" w:color="auto" w:fill="auto"/>
            <w:vAlign w:val="center"/>
            <w:hideMark/>
          </w:tcPr>
          <w:p w14:paraId="67BCC501"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18.1%</w:t>
            </w:r>
          </w:p>
        </w:tc>
        <w:tc>
          <w:tcPr>
            <w:tcW w:w="222" w:type="dxa"/>
            <w:vAlign w:val="center"/>
            <w:hideMark/>
          </w:tcPr>
          <w:p w14:paraId="4FDE9CE4" w14:textId="77777777" w:rsidR="007E0043" w:rsidRPr="00A14298" w:rsidRDefault="007E0043" w:rsidP="0021047A">
            <w:pPr>
              <w:rPr>
                <w:rFonts w:ascii="Times New Roman" w:hAnsi="Times New Roman"/>
                <w:sz w:val="20"/>
                <w:lang w:eastAsia="en-NZ"/>
              </w:rPr>
            </w:pPr>
          </w:p>
        </w:tc>
      </w:tr>
      <w:tr w:rsidR="007E0043" w:rsidRPr="00A14298" w14:paraId="0DBC200F" w14:textId="77777777" w:rsidTr="0021047A">
        <w:trPr>
          <w:trHeight w:val="315"/>
        </w:trPr>
        <w:tc>
          <w:tcPr>
            <w:tcW w:w="2720" w:type="dxa"/>
            <w:tcBorders>
              <w:top w:val="nil"/>
              <w:left w:val="nil"/>
              <w:bottom w:val="nil"/>
              <w:right w:val="nil"/>
            </w:tcBorders>
            <w:shd w:val="clear" w:color="auto" w:fill="auto"/>
            <w:vAlign w:val="bottom"/>
            <w:hideMark/>
          </w:tcPr>
          <w:p w14:paraId="697C79A5" w14:textId="77777777" w:rsidR="007E0043" w:rsidRDefault="007E0043" w:rsidP="0021047A">
            <w:pPr>
              <w:jc w:val="right"/>
              <w:rPr>
                <w:rFonts w:ascii="Aptos Narrow" w:hAnsi="Aptos Narrow"/>
                <w:color w:val="000000"/>
                <w:sz w:val="22"/>
                <w:szCs w:val="22"/>
                <w:lang w:eastAsia="en-NZ"/>
              </w:rPr>
            </w:pPr>
          </w:p>
          <w:p w14:paraId="6753913F" w14:textId="77777777" w:rsidR="007E0043" w:rsidRDefault="007E0043" w:rsidP="0021047A">
            <w:pPr>
              <w:jc w:val="right"/>
              <w:rPr>
                <w:rFonts w:ascii="Aptos Narrow" w:hAnsi="Aptos Narrow"/>
                <w:color w:val="000000"/>
                <w:sz w:val="22"/>
                <w:szCs w:val="22"/>
                <w:lang w:eastAsia="en-NZ"/>
              </w:rPr>
            </w:pPr>
          </w:p>
          <w:p w14:paraId="0BF803B8" w14:textId="77777777" w:rsidR="007E0043" w:rsidRDefault="007E0043" w:rsidP="0021047A">
            <w:pPr>
              <w:jc w:val="right"/>
              <w:rPr>
                <w:rFonts w:ascii="Aptos Narrow" w:hAnsi="Aptos Narrow"/>
                <w:color w:val="000000"/>
                <w:sz w:val="22"/>
                <w:szCs w:val="22"/>
                <w:lang w:eastAsia="en-NZ"/>
              </w:rPr>
            </w:pPr>
          </w:p>
          <w:p w14:paraId="44B3578D" w14:textId="77777777" w:rsidR="007E0043" w:rsidRPr="00A14298" w:rsidRDefault="007E0043" w:rsidP="0021047A">
            <w:pPr>
              <w:jc w:val="right"/>
              <w:rPr>
                <w:rFonts w:ascii="Aptos Narrow" w:hAnsi="Aptos Narrow"/>
                <w:color w:val="000000"/>
                <w:sz w:val="22"/>
                <w:szCs w:val="22"/>
                <w:lang w:eastAsia="en-NZ"/>
              </w:rPr>
            </w:pPr>
          </w:p>
        </w:tc>
        <w:tc>
          <w:tcPr>
            <w:tcW w:w="2820" w:type="dxa"/>
            <w:tcBorders>
              <w:top w:val="nil"/>
              <w:left w:val="nil"/>
              <w:bottom w:val="nil"/>
              <w:right w:val="nil"/>
            </w:tcBorders>
            <w:shd w:val="clear" w:color="auto" w:fill="auto"/>
            <w:vAlign w:val="bottom"/>
            <w:hideMark/>
          </w:tcPr>
          <w:p w14:paraId="2F328E6C" w14:textId="77777777" w:rsidR="007E0043" w:rsidRPr="00A14298" w:rsidRDefault="007E0043" w:rsidP="0021047A">
            <w:pPr>
              <w:rPr>
                <w:rFonts w:ascii="Times New Roman" w:hAnsi="Times New Roman"/>
                <w:sz w:val="20"/>
                <w:lang w:eastAsia="en-NZ"/>
              </w:rPr>
            </w:pPr>
          </w:p>
        </w:tc>
        <w:tc>
          <w:tcPr>
            <w:tcW w:w="2080" w:type="dxa"/>
            <w:tcBorders>
              <w:top w:val="nil"/>
              <w:left w:val="nil"/>
              <w:bottom w:val="nil"/>
              <w:right w:val="nil"/>
            </w:tcBorders>
            <w:shd w:val="clear" w:color="auto" w:fill="auto"/>
            <w:vAlign w:val="bottom"/>
            <w:hideMark/>
          </w:tcPr>
          <w:p w14:paraId="418E82AD" w14:textId="77777777" w:rsidR="007E0043" w:rsidRPr="00A14298" w:rsidRDefault="007E0043" w:rsidP="0021047A">
            <w:pPr>
              <w:rPr>
                <w:rFonts w:ascii="Times New Roman" w:hAnsi="Times New Roman"/>
                <w:sz w:val="20"/>
                <w:lang w:eastAsia="en-NZ"/>
              </w:rPr>
            </w:pPr>
          </w:p>
        </w:tc>
        <w:tc>
          <w:tcPr>
            <w:tcW w:w="2760" w:type="dxa"/>
            <w:tcBorders>
              <w:top w:val="nil"/>
              <w:left w:val="nil"/>
              <w:bottom w:val="nil"/>
              <w:right w:val="nil"/>
            </w:tcBorders>
            <w:shd w:val="clear" w:color="auto" w:fill="auto"/>
            <w:vAlign w:val="bottom"/>
            <w:hideMark/>
          </w:tcPr>
          <w:p w14:paraId="1337FE97" w14:textId="77777777" w:rsidR="007E0043" w:rsidRPr="00A14298" w:rsidRDefault="007E0043" w:rsidP="0021047A">
            <w:pPr>
              <w:rPr>
                <w:rFonts w:ascii="Times New Roman" w:hAnsi="Times New Roman"/>
                <w:sz w:val="20"/>
                <w:lang w:eastAsia="en-NZ"/>
              </w:rPr>
            </w:pPr>
          </w:p>
        </w:tc>
        <w:tc>
          <w:tcPr>
            <w:tcW w:w="2580" w:type="dxa"/>
            <w:tcBorders>
              <w:top w:val="nil"/>
              <w:left w:val="nil"/>
              <w:bottom w:val="nil"/>
              <w:right w:val="nil"/>
            </w:tcBorders>
            <w:shd w:val="clear" w:color="auto" w:fill="auto"/>
            <w:vAlign w:val="bottom"/>
            <w:hideMark/>
          </w:tcPr>
          <w:p w14:paraId="662EB53A" w14:textId="77777777" w:rsidR="007E0043" w:rsidRPr="00A14298" w:rsidRDefault="007E0043" w:rsidP="0021047A">
            <w:pPr>
              <w:rPr>
                <w:rFonts w:ascii="Times New Roman" w:hAnsi="Times New Roman"/>
                <w:sz w:val="20"/>
                <w:lang w:eastAsia="en-NZ"/>
              </w:rPr>
            </w:pPr>
          </w:p>
        </w:tc>
        <w:tc>
          <w:tcPr>
            <w:tcW w:w="1240" w:type="dxa"/>
            <w:tcBorders>
              <w:top w:val="nil"/>
              <w:left w:val="nil"/>
              <w:bottom w:val="nil"/>
              <w:right w:val="nil"/>
            </w:tcBorders>
            <w:shd w:val="clear" w:color="auto" w:fill="auto"/>
            <w:vAlign w:val="bottom"/>
            <w:hideMark/>
          </w:tcPr>
          <w:p w14:paraId="28EB7220" w14:textId="77777777" w:rsidR="007E0043" w:rsidRPr="00A14298" w:rsidRDefault="007E0043" w:rsidP="0021047A">
            <w:pPr>
              <w:rPr>
                <w:rFonts w:ascii="Times New Roman" w:hAnsi="Times New Roman"/>
                <w:sz w:val="20"/>
                <w:lang w:eastAsia="en-NZ"/>
              </w:rPr>
            </w:pPr>
          </w:p>
        </w:tc>
        <w:tc>
          <w:tcPr>
            <w:tcW w:w="222" w:type="dxa"/>
            <w:vAlign w:val="center"/>
            <w:hideMark/>
          </w:tcPr>
          <w:p w14:paraId="6B85F95C" w14:textId="77777777" w:rsidR="007E0043" w:rsidRPr="00A14298" w:rsidRDefault="007E0043" w:rsidP="0021047A">
            <w:pPr>
              <w:rPr>
                <w:rFonts w:ascii="Times New Roman" w:hAnsi="Times New Roman"/>
                <w:sz w:val="20"/>
                <w:lang w:eastAsia="en-NZ"/>
              </w:rPr>
            </w:pPr>
          </w:p>
        </w:tc>
      </w:tr>
      <w:tr w:rsidR="007E0043" w:rsidRPr="00A14298" w14:paraId="5BCDD80F" w14:textId="77777777" w:rsidTr="0021047A">
        <w:trPr>
          <w:trHeight w:val="300"/>
        </w:trPr>
        <w:tc>
          <w:tcPr>
            <w:tcW w:w="5540" w:type="dxa"/>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052686A4"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lastRenderedPageBreak/>
              <w:t>Wairarapa Average Rates</w:t>
            </w:r>
          </w:p>
        </w:tc>
        <w:tc>
          <w:tcPr>
            <w:tcW w:w="20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3207F4FB"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 xml:space="preserve">Average </w:t>
            </w:r>
            <w:r>
              <w:rPr>
                <w:rFonts w:ascii="Calibri" w:hAnsi="Calibri" w:cs="Calibri"/>
                <w:b/>
                <w:bCs/>
                <w:sz w:val="20"/>
                <w:lang w:eastAsia="en-NZ"/>
              </w:rPr>
              <w:t xml:space="preserve">Rates </w:t>
            </w:r>
            <w:r w:rsidRPr="00A14298">
              <w:rPr>
                <w:rFonts w:ascii="Calibri" w:hAnsi="Calibri" w:cs="Calibri"/>
                <w:b/>
                <w:bCs/>
                <w:sz w:val="20"/>
                <w:lang w:eastAsia="en-NZ"/>
              </w:rPr>
              <w:t>2025/26</w:t>
            </w:r>
          </w:p>
        </w:tc>
        <w:tc>
          <w:tcPr>
            <w:tcW w:w="276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64E0BE2"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annum</w:t>
            </w:r>
          </w:p>
        </w:tc>
        <w:tc>
          <w:tcPr>
            <w:tcW w:w="25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B2AE0FA"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week</w:t>
            </w:r>
          </w:p>
        </w:tc>
        <w:tc>
          <w:tcPr>
            <w:tcW w:w="124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705A4AC"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Increase %</w:t>
            </w:r>
          </w:p>
        </w:tc>
        <w:tc>
          <w:tcPr>
            <w:tcW w:w="222" w:type="dxa"/>
            <w:vAlign w:val="center"/>
            <w:hideMark/>
          </w:tcPr>
          <w:p w14:paraId="1E8B29C3" w14:textId="77777777" w:rsidR="007E0043" w:rsidRPr="00A14298" w:rsidRDefault="007E0043" w:rsidP="0021047A">
            <w:pPr>
              <w:rPr>
                <w:rFonts w:ascii="Times New Roman" w:hAnsi="Times New Roman"/>
                <w:sz w:val="20"/>
                <w:lang w:eastAsia="en-NZ"/>
              </w:rPr>
            </w:pPr>
          </w:p>
        </w:tc>
      </w:tr>
      <w:tr w:rsidR="007E0043" w:rsidRPr="00A14298" w14:paraId="5EF15161" w14:textId="77777777" w:rsidTr="0021047A">
        <w:trPr>
          <w:trHeight w:val="315"/>
        </w:trPr>
        <w:tc>
          <w:tcPr>
            <w:tcW w:w="5540" w:type="dxa"/>
            <w:gridSpan w:val="2"/>
            <w:vMerge/>
            <w:vAlign w:val="center"/>
            <w:hideMark/>
          </w:tcPr>
          <w:p w14:paraId="02E69676" w14:textId="77777777" w:rsidR="007E0043" w:rsidRPr="00A14298" w:rsidRDefault="007E0043" w:rsidP="0021047A">
            <w:pPr>
              <w:rPr>
                <w:rFonts w:ascii="Calibri" w:hAnsi="Calibri" w:cs="Calibri"/>
                <w:b/>
                <w:bCs/>
                <w:sz w:val="20"/>
                <w:lang w:eastAsia="en-NZ"/>
              </w:rPr>
            </w:pPr>
          </w:p>
        </w:tc>
        <w:tc>
          <w:tcPr>
            <w:tcW w:w="2080" w:type="dxa"/>
            <w:vMerge/>
            <w:vAlign w:val="center"/>
            <w:hideMark/>
          </w:tcPr>
          <w:p w14:paraId="6326ECA1" w14:textId="77777777" w:rsidR="007E0043" w:rsidRPr="00A14298" w:rsidRDefault="007E0043" w:rsidP="0021047A">
            <w:pPr>
              <w:rPr>
                <w:rFonts w:ascii="Calibri" w:hAnsi="Calibri" w:cs="Calibri"/>
                <w:b/>
                <w:bCs/>
                <w:sz w:val="20"/>
                <w:lang w:eastAsia="en-NZ"/>
              </w:rPr>
            </w:pPr>
          </w:p>
        </w:tc>
        <w:tc>
          <w:tcPr>
            <w:tcW w:w="2760" w:type="dxa"/>
            <w:vMerge/>
            <w:vAlign w:val="center"/>
            <w:hideMark/>
          </w:tcPr>
          <w:p w14:paraId="6750CC6E" w14:textId="77777777" w:rsidR="007E0043" w:rsidRPr="00A14298" w:rsidRDefault="007E0043" w:rsidP="0021047A">
            <w:pPr>
              <w:rPr>
                <w:rFonts w:ascii="Calibri" w:hAnsi="Calibri" w:cs="Calibri"/>
                <w:b/>
                <w:bCs/>
                <w:sz w:val="20"/>
                <w:lang w:eastAsia="en-NZ"/>
              </w:rPr>
            </w:pPr>
          </w:p>
        </w:tc>
        <w:tc>
          <w:tcPr>
            <w:tcW w:w="2580" w:type="dxa"/>
            <w:vMerge/>
            <w:vAlign w:val="center"/>
            <w:hideMark/>
          </w:tcPr>
          <w:p w14:paraId="21BF970B" w14:textId="77777777" w:rsidR="007E0043" w:rsidRPr="00A14298" w:rsidRDefault="007E0043" w:rsidP="0021047A">
            <w:pPr>
              <w:rPr>
                <w:rFonts w:ascii="Calibri" w:hAnsi="Calibri" w:cs="Calibri"/>
                <w:b/>
                <w:bCs/>
                <w:sz w:val="20"/>
                <w:lang w:eastAsia="en-NZ"/>
              </w:rPr>
            </w:pPr>
          </w:p>
        </w:tc>
        <w:tc>
          <w:tcPr>
            <w:tcW w:w="1240" w:type="dxa"/>
            <w:vMerge/>
            <w:vAlign w:val="center"/>
            <w:hideMark/>
          </w:tcPr>
          <w:p w14:paraId="4E1236DE" w14:textId="77777777" w:rsidR="007E0043" w:rsidRPr="00A14298" w:rsidRDefault="007E0043" w:rsidP="0021047A">
            <w:pPr>
              <w:rPr>
                <w:rFonts w:ascii="Calibri" w:hAnsi="Calibri" w:cs="Calibri"/>
                <w:b/>
                <w:bCs/>
                <w:sz w:val="20"/>
                <w:lang w:eastAsia="en-NZ"/>
              </w:rPr>
            </w:pPr>
          </w:p>
        </w:tc>
        <w:tc>
          <w:tcPr>
            <w:tcW w:w="222" w:type="dxa"/>
            <w:tcBorders>
              <w:top w:val="nil"/>
              <w:left w:val="nil"/>
              <w:bottom w:val="nil"/>
              <w:right w:val="nil"/>
            </w:tcBorders>
            <w:shd w:val="clear" w:color="auto" w:fill="auto"/>
            <w:noWrap/>
            <w:vAlign w:val="bottom"/>
            <w:hideMark/>
          </w:tcPr>
          <w:p w14:paraId="2BCFD37E" w14:textId="77777777" w:rsidR="007E0043" w:rsidRPr="00A14298" w:rsidRDefault="007E0043" w:rsidP="0021047A">
            <w:pPr>
              <w:rPr>
                <w:rFonts w:ascii="Calibri" w:hAnsi="Calibri" w:cs="Calibri"/>
                <w:b/>
                <w:bCs/>
                <w:sz w:val="20"/>
                <w:lang w:eastAsia="en-NZ"/>
              </w:rPr>
            </w:pPr>
          </w:p>
        </w:tc>
      </w:tr>
      <w:tr w:rsidR="007E0043" w:rsidRPr="00A14298" w14:paraId="062BAEFA"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6ACBD073"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Residential </w:t>
            </w:r>
          </w:p>
        </w:tc>
        <w:tc>
          <w:tcPr>
            <w:tcW w:w="2820" w:type="dxa"/>
            <w:tcBorders>
              <w:top w:val="nil"/>
              <w:left w:val="nil"/>
              <w:bottom w:val="single" w:sz="8" w:space="0" w:color="auto"/>
              <w:right w:val="single" w:sz="8" w:space="0" w:color="auto"/>
            </w:tcBorders>
            <w:shd w:val="clear" w:color="auto" w:fill="auto"/>
            <w:vAlign w:val="center"/>
            <w:hideMark/>
          </w:tcPr>
          <w:p w14:paraId="2808C04B"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Masterton District</w:t>
            </w:r>
          </w:p>
        </w:tc>
        <w:tc>
          <w:tcPr>
            <w:tcW w:w="2080" w:type="dxa"/>
            <w:tcBorders>
              <w:top w:val="nil"/>
              <w:left w:val="nil"/>
              <w:bottom w:val="single" w:sz="8" w:space="0" w:color="auto"/>
              <w:right w:val="single" w:sz="8" w:space="0" w:color="auto"/>
            </w:tcBorders>
            <w:shd w:val="clear" w:color="auto" w:fill="auto"/>
            <w:vAlign w:val="center"/>
            <w:hideMark/>
          </w:tcPr>
          <w:p w14:paraId="72C5C21A"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$466.64</w:t>
            </w:r>
          </w:p>
        </w:tc>
        <w:tc>
          <w:tcPr>
            <w:tcW w:w="2760" w:type="dxa"/>
            <w:tcBorders>
              <w:top w:val="nil"/>
              <w:left w:val="nil"/>
              <w:bottom w:val="single" w:sz="8" w:space="0" w:color="auto"/>
              <w:right w:val="single" w:sz="8" w:space="0" w:color="auto"/>
            </w:tcBorders>
            <w:shd w:val="clear" w:color="auto" w:fill="auto"/>
            <w:vAlign w:val="center"/>
            <w:hideMark/>
          </w:tcPr>
          <w:p w14:paraId="27B45CE1"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$15.03</w:t>
            </w:r>
          </w:p>
        </w:tc>
        <w:tc>
          <w:tcPr>
            <w:tcW w:w="2580" w:type="dxa"/>
            <w:tcBorders>
              <w:top w:val="nil"/>
              <w:left w:val="nil"/>
              <w:bottom w:val="single" w:sz="8" w:space="0" w:color="auto"/>
              <w:right w:val="single" w:sz="8" w:space="0" w:color="auto"/>
            </w:tcBorders>
            <w:shd w:val="clear" w:color="auto" w:fill="auto"/>
            <w:vAlign w:val="center"/>
            <w:hideMark/>
          </w:tcPr>
          <w:p w14:paraId="4D5BD9E9"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$0.29</w:t>
            </w:r>
          </w:p>
        </w:tc>
        <w:tc>
          <w:tcPr>
            <w:tcW w:w="1240" w:type="dxa"/>
            <w:tcBorders>
              <w:top w:val="nil"/>
              <w:left w:val="nil"/>
              <w:bottom w:val="single" w:sz="8" w:space="0" w:color="auto"/>
              <w:right w:val="single" w:sz="8" w:space="0" w:color="auto"/>
            </w:tcBorders>
            <w:shd w:val="clear" w:color="auto" w:fill="auto"/>
            <w:vAlign w:val="center"/>
            <w:hideMark/>
          </w:tcPr>
          <w:p w14:paraId="57C3A5FF"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3.3%</w:t>
            </w:r>
          </w:p>
        </w:tc>
        <w:tc>
          <w:tcPr>
            <w:tcW w:w="222" w:type="dxa"/>
            <w:vAlign w:val="center"/>
            <w:hideMark/>
          </w:tcPr>
          <w:p w14:paraId="07C40620" w14:textId="77777777" w:rsidR="007E0043" w:rsidRPr="00A14298" w:rsidRDefault="007E0043" w:rsidP="0021047A">
            <w:pPr>
              <w:rPr>
                <w:rFonts w:ascii="Times New Roman" w:hAnsi="Times New Roman"/>
                <w:sz w:val="20"/>
                <w:lang w:eastAsia="en-NZ"/>
              </w:rPr>
            </w:pPr>
          </w:p>
        </w:tc>
      </w:tr>
      <w:tr w:rsidR="007E0043" w:rsidRPr="00A14298" w14:paraId="62225AF6"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54E46CE2"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(incl. GST)</w:t>
            </w:r>
          </w:p>
        </w:tc>
        <w:tc>
          <w:tcPr>
            <w:tcW w:w="2820" w:type="dxa"/>
            <w:tcBorders>
              <w:top w:val="nil"/>
              <w:left w:val="nil"/>
              <w:bottom w:val="single" w:sz="8" w:space="0" w:color="auto"/>
              <w:right w:val="single" w:sz="8" w:space="0" w:color="auto"/>
            </w:tcBorders>
            <w:shd w:val="clear" w:color="auto" w:fill="auto"/>
            <w:vAlign w:val="center"/>
            <w:hideMark/>
          </w:tcPr>
          <w:p w14:paraId="5A31FF8E"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Carterton District</w:t>
            </w:r>
          </w:p>
        </w:tc>
        <w:tc>
          <w:tcPr>
            <w:tcW w:w="2080" w:type="dxa"/>
            <w:tcBorders>
              <w:top w:val="nil"/>
              <w:left w:val="nil"/>
              <w:bottom w:val="single" w:sz="8" w:space="0" w:color="auto"/>
              <w:right w:val="single" w:sz="8" w:space="0" w:color="auto"/>
            </w:tcBorders>
            <w:shd w:val="clear" w:color="auto" w:fill="auto"/>
            <w:vAlign w:val="center"/>
            <w:hideMark/>
          </w:tcPr>
          <w:p w14:paraId="4B25C22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$544.92</w:t>
            </w:r>
          </w:p>
        </w:tc>
        <w:tc>
          <w:tcPr>
            <w:tcW w:w="2760" w:type="dxa"/>
            <w:tcBorders>
              <w:top w:val="nil"/>
              <w:left w:val="nil"/>
              <w:bottom w:val="single" w:sz="8" w:space="0" w:color="auto"/>
              <w:right w:val="single" w:sz="8" w:space="0" w:color="auto"/>
            </w:tcBorders>
            <w:shd w:val="clear" w:color="auto" w:fill="auto"/>
            <w:vAlign w:val="center"/>
            <w:hideMark/>
          </w:tcPr>
          <w:p w14:paraId="02971F27"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$59.08</w:t>
            </w:r>
          </w:p>
        </w:tc>
        <w:tc>
          <w:tcPr>
            <w:tcW w:w="2580" w:type="dxa"/>
            <w:tcBorders>
              <w:top w:val="nil"/>
              <w:left w:val="nil"/>
              <w:bottom w:val="single" w:sz="8" w:space="0" w:color="auto"/>
              <w:right w:val="single" w:sz="8" w:space="0" w:color="auto"/>
            </w:tcBorders>
            <w:shd w:val="clear" w:color="auto" w:fill="auto"/>
            <w:vAlign w:val="center"/>
            <w:hideMark/>
          </w:tcPr>
          <w:p w14:paraId="7A92D6BC"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$1.14</w:t>
            </w:r>
          </w:p>
        </w:tc>
        <w:tc>
          <w:tcPr>
            <w:tcW w:w="1240" w:type="dxa"/>
            <w:tcBorders>
              <w:top w:val="nil"/>
              <w:left w:val="nil"/>
              <w:bottom w:val="single" w:sz="8" w:space="0" w:color="auto"/>
              <w:right w:val="single" w:sz="8" w:space="0" w:color="auto"/>
            </w:tcBorders>
            <w:shd w:val="clear" w:color="auto" w:fill="auto"/>
            <w:vAlign w:val="center"/>
            <w:hideMark/>
          </w:tcPr>
          <w:p w14:paraId="6E44D3A5"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12.2%</w:t>
            </w:r>
          </w:p>
        </w:tc>
        <w:tc>
          <w:tcPr>
            <w:tcW w:w="222" w:type="dxa"/>
            <w:vAlign w:val="center"/>
            <w:hideMark/>
          </w:tcPr>
          <w:p w14:paraId="617860B1" w14:textId="77777777" w:rsidR="007E0043" w:rsidRPr="00A14298" w:rsidRDefault="007E0043" w:rsidP="0021047A">
            <w:pPr>
              <w:rPr>
                <w:rFonts w:ascii="Times New Roman" w:hAnsi="Times New Roman"/>
                <w:sz w:val="20"/>
                <w:lang w:eastAsia="en-NZ"/>
              </w:rPr>
            </w:pPr>
          </w:p>
        </w:tc>
      </w:tr>
      <w:tr w:rsidR="007E0043" w:rsidRPr="00A14298" w14:paraId="5362856D"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5B088873" w14:textId="77777777" w:rsidR="007E0043" w:rsidRPr="00A14298" w:rsidRDefault="007E0043" w:rsidP="0021047A">
            <w:pPr>
              <w:rPr>
                <w:rFonts w:ascii="Aptos Narrow" w:hAnsi="Aptos Narrow"/>
                <w:color w:val="000000"/>
                <w:sz w:val="22"/>
                <w:szCs w:val="22"/>
                <w:lang w:eastAsia="en-NZ"/>
              </w:rPr>
            </w:pPr>
            <w:r w:rsidRPr="00A14298">
              <w:rPr>
                <w:rFonts w:ascii="Aptos Narrow" w:hAnsi="Aptos Narrow"/>
                <w:color w:val="000000"/>
                <w:sz w:val="22"/>
                <w:szCs w:val="22"/>
                <w:lang w:eastAsia="en-NZ"/>
              </w:rPr>
              <w:t> </w:t>
            </w:r>
          </w:p>
        </w:tc>
        <w:tc>
          <w:tcPr>
            <w:tcW w:w="2820" w:type="dxa"/>
            <w:tcBorders>
              <w:top w:val="nil"/>
              <w:left w:val="nil"/>
              <w:bottom w:val="single" w:sz="8" w:space="0" w:color="auto"/>
              <w:right w:val="single" w:sz="8" w:space="0" w:color="auto"/>
            </w:tcBorders>
            <w:shd w:val="clear" w:color="auto" w:fill="auto"/>
            <w:vAlign w:val="center"/>
            <w:hideMark/>
          </w:tcPr>
          <w:p w14:paraId="716791FF"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South Wairarapa District</w:t>
            </w:r>
          </w:p>
        </w:tc>
        <w:tc>
          <w:tcPr>
            <w:tcW w:w="2080" w:type="dxa"/>
            <w:tcBorders>
              <w:top w:val="nil"/>
              <w:left w:val="nil"/>
              <w:bottom w:val="single" w:sz="8" w:space="0" w:color="auto"/>
              <w:right w:val="single" w:sz="8" w:space="0" w:color="auto"/>
            </w:tcBorders>
            <w:shd w:val="clear" w:color="auto" w:fill="auto"/>
            <w:vAlign w:val="center"/>
            <w:hideMark/>
          </w:tcPr>
          <w:p w14:paraId="2D58C4E5"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$641.74</w:t>
            </w:r>
          </w:p>
        </w:tc>
        <w:tc>
          <w:tcPr>
            <w:tcW w:w="2760" w:type="dxa"/>
            <w:tcBorders>
              <w:top w:val="nil"/>
              <w:left w:val="nil"/>
              <w:bottom w:val="single" w:sz="8" w:space="0" w:color="auto"/>
              <w:right w:val="single" w:sz="8" w:space="0" w:color="auto"/>
            </w:tcBorders>
            <w:shd w:val="clear" w:color="auto" w:fill="auto"/>
            <w:vAlign w:val="center"/>
            <w:hideMark/>
          </w:tcPr>
          <w:p w14:paraId="41865657"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$43.70</w:t>
            </w:r>
          </w:p>
        </w:tc>
        <w:tc>
          <w:tcPr>
            <w:tcW w:w="2580" w:type="dxa"/>
            <w:tcBorders>
              <w:top w:val="nil"/>
              <w:left w:val="nil"/>
              <w:bottom w:val="single" w:sz="8" w:space="0" w:color="auto"/>
              <w:right w:val="single" w:sz="8" w:space="0" w:color="auto"/>
            </w:tcBorders>
            <w:shd w:val="clear" w:color="auto" w:fill="auto"/>
            <w:vAlign w:val="center"/>
            <w:hideMark/>
          </w:tcPr>
          <w:p w14:paraId="59AB1694"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$0.84</w:t>
            </w:r>
          </w:p>
        </w:tc>
        <w:tc>
          <w:tcPr>
            <w:tcW w:w="1240" w:type="dxa"/>
            <w:tcBorders>
              <w:top w:val="nil"/>
              <w:left w:val="nil"/>
              <w:bottom w:val="single" w:sz="8" w:space="0" w:color="auto"/>
              <w:right w:val="single" w:sz="8" w:space="0" w:color="auto"/>
            </w:tcBorders>
            <w:shd w:val="clear" w:color="auto" w:fill="auto"/>
            <w:vAlign w:val="center"/>
            <w:hideMark/>
          </w:tcPr>
          <w:p w14:paraId="138E16D7"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7.3%</w:t>
            </w:r>
          </w:p>
        </w:tc>
        <w:tc>
          <w:tcPr>
            <w:tcW w:w="222" w:type="dxa"/>
            <w:vAlign w:val="center"/>
            <w:hideMark/>
          </w:tcPr>
          <w:p w14:paraId="4D0EFF3C" w14:textId="77777777" w:rsidR="007E0043" w:rsidRPr="00A14298" w:rsidRDefault="007E0043" w:rsidP="0021047A">
            <w:pPr>
              <w:rPr>
                <w:rFonts w:ascii="Times New Roman" w:hAnsi="Times New Roman"/>
                <w:sz w:val="20"/>
                <w:lang w:eastAsia="en-NZ"/>
              </w:rPr>
            </w:pPr>
          </w:p>
        </w:tc>
      </w:tr>
      <w:tr w:rsidR="007E0043" w:rsidRPr="00A14298" w14:paraId="7BF269EA"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05A57E45"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Business </w:t>
            </w:r>
          </w:p>
        </w:tc>
        <w:tc>
          <w:tcPr>
            <w:tcW w:w="2820" w:type="dxa"/>
            <w:tcBorders>
              <w:top w:val="nil"/>
              <w:left w:val="nil"/>
              <w:bottom w:val="single" w:sz="8" w:space="0" w:color="auto"/>
              <w:right w:val="single" w:sz="8" w:space="0" w:color="auto"/>
            </w:tcBorders>
            <w:shd w:val="clear" w:color="auto" w:fill="auto"/>
            <w:vAlign w:val="center"/>
            <w:hideMark/>
          </w:tcPr>
          <w:p w14:paraId="38E9BE1C"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Masterton District</w:t>
            </w:r>
          </w:p>
        </w:tc>
        <w:tc>
          <w:tcPr>
            <w:tcW w:w="2080" w:type="dxa"/>
            <w:tcBorders>
              <w:top w:val="nil"/>
              <w:left w:val="nil"/>
              <w:bottom w:val="single" w:sz="8" w:space="0" w:color="auto"/>
              <w:right w:val="single" w:sz="8" w:space="0" w:color="auto"/>
            </w:tcBorders>
            <w:shd w:val="clear" w:color="auto" w:fill="auto"/>
            <w:vAlign w:val="center"/>
            <w:hideMark/>
          </w:tcPr>
          <w:p w14:paraId="7A2F15FB"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$1,625.48</w:t>
            </w:r>
          </w:p>
        </w:tc>
        <w:tc>
          <w:tcPr>
            <w:tcW w:w="2760" w:type="dxa"/>
            <w:tcBorders>
              <w:top w:val="nil"/>
              <w:left w:val="nil"/>
              <w:bottom w:val="single" w:sz="8" w:space="0" w:color="auto"/>
              <w:right w:val="single" w:sz="8" w:space="0" w:color="auto"/>
            </w:tcBorders>
            <w:shd w:val="clear" w:color="auto" w:fill="auto"/>
            <w:vAlign w:val="center"/>
            <w:hideMark/>
          </w:tcPr>
          <w:p w14:paraId="7B6B27E7"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color w:val="FF0000"/>
                <w:sz w:val="22"/>
                <w:szCs w:val="22"/>
                <w:lang w:eastAsia="en-NZ"/>
              </w:rPr>
              <w:t>-$28.91</w:t>
            </w:r>
          </w:p>
        </w:tc>
        <w:tc>
          <w:tcPr>
            <w:tcW w:w="2580" w:type="dxa"/>
            <w:tcBorders>
              <w:top w:val="nil"/>
              <w:left w:val="nil"/>
              <w:bottom w:val="single" w:sz="8" w:space="0" w:color="auto"/>
              <w:right w:val="single" w:sz="8" w:space="0" w:color="auto"/>
            </w:tcBorders>
            <w:shd w:val="clear" w:color="auto" w:fill="auto"/>
            <w:vAlign w:val="center"/>
            <w:hideMark/>
          </w:tcPr>
          <w:p w14:paraId="58E6D482"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color w:val="FF0000"/>
                <w:sz w:val="22"/>
                <w:szCs w:val="22"/>
                <w:lang w:eastAsia="en-NZ"/>
              </w:rPr>
              <w:t>-$0.56</w:t>
            </w:r>
          </w:p>
        </w:tc>
        <w:tc>
          <w:tcPr>
            <w:tcW w:w="1240" w:type="dxa"/>
            <w:tcBorders>
              <w:top w:val="nil"/>
              <w:left w:val="nil"/>
              <w:bottom w:val="single" w:sz="8" w:space="0" w:color="auto"/>
              <w:right w:val="single" w:sz="8" w:space="0" w:color="auto"/>
            </w:tcBorders>
            <w:shd w:val="clear" w:color="auto" w:fill="auto"/>
            <w:vAlign w:val="center"/>
            <w:hideMark/>
          </w:tcPr>
          <w:p w14:paraId="2A73685A"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-1.7%</w:t>
            </w:r>
          </w:p>
        </w:tc>
        <w:tc>
          <w:tcPr>
            <w:tcW w:w="222" w:type="dxa"/>
            <w:vAlign w:val="center"/>
            <w:hideMark/>
          </w:tcPr>
          <w:p w14:paraId="28771878" w14:textId="77777777" w:rsidR="007E0043" w:rsidRPr="00A14298" w:rsidRDefault="007E0043" w:rsidP="0021047A">
            <w:pPr>
              <w:rPr>
                <w:rFonts w:ascii="Times New Roman" w:hAnsi="Times New Roman"/>
                <w:sz w:val="20"/>
                <w:lang w:eastAsia="en-NZ"/>
              </w:rPr>
            </w:pPr>
          </w:p>
        </w:tc>
      </w:tr>
      <w:tr w:rsidR="007E0043" w:rsidRPr="00A14298" w14:paraId="7B167D06"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1DD62A4D"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(excl. GST)</w:t>
            </w:r>
          </w:p>
        </w:tc>
        <w:tc>
          <w:tcPr>
            <w:tcW w:w="2820" w:type="dxa"/>
            <w:tcBorders>
              <w:top w:val="nil"/>
              <w:left w:val="nil"/>
              <w:bottom w:val="single" w:sz="8" w:space="0" w:color="auto"/>
              <w:right w:val="single" w:sz="8" w:space="0" w:color="auto"/>
            </w:tcBorders>
            <w:shd w:val="clear" w:color="auto" w:fill="auto"/>
            <w:vAlign w:val="center"/>
            <w:hideMark/>
          </w:tcPr>
          <w:p w14:paraId="3C217BDA"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Carterton District</w:t>
            </w:r>
          </w:p>
        </w:tc>
        <w:tc>
          <w:tcPr>
            <w:tcW w:w="2080" w:type="dxa"/>
            <w:tcBorders>
              <w:top w:val="nil"/>
              <w:left w:val="nil"/>
              <w:bottom w:val="single" w:sz="8" w:space="0" w:color="auto"/>
              <w:right w:val="single" w:sz="8" w:space="0" w:color="auto"/>
            </w:tcBorders>
            <w:shd w:val="clear" w:color="auto" w:fill="auto"/>
            <w:vAlign w:val="center"/>
            <w:hideMark/>
          </w:tcPr>
          <w:p w14:paraId="6B9936A8"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$950.48</w:t>
            </w:r>
          </w:p>
        </w:tc>
        <w:tc>
          <w:tcPr>
            <w:tcW w:w="2760" w:type="dxa"/>
            <w:tcBorders>
              <w:top w:val="nil"/>
              <w:left w:val="nil"/>
              <w:bottom w:val="single" w:sz="8" w:space="0" w:color="auto"/>
              <w:right w:val="single" w:sz="8" w:space="0" w:color="auto"/>
            </w:tcBorders>
            <w:shd w:val="clear" w:color="auto" w:fill="auto"/>
            <w:vAlign w:val="center"/>
            <w:hideMark/>
          </w:tcPr>
          <w:p w14:paraId="6FD2AA6A"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$101.95</w:t>
            </w:r>
          </w:p>
        </w:tc>
        <w:tc>
          <w:tcPr>
            <w:tcW w:w="2580" w:type="dxa"/>
            <w:tcBorders>
              <w:top w:val="nil"/>
              <w:left w:val="nil"/>
              <w:bottom w:val="single" w:sz="8" w:space="0" w:color="auto"/>
              <w:right w:val="single" w:sz="8" w:space="0" w:color="auto"/>
            </w:tcBorders>
            <w:shd w:val="clear" w:color="auto" w:fill="auto"/>
            <w:vAlign w:val="center"/>
            <w:hideMark/>
          </w:tcPr>
          <w:p w14:paraId="7FE0872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$1.96</w:t>
            </w:r>
          </w:p>
        </w:tc>
        <w:tc>
          <w:tcPr>
            <w:tcW w:w="1240" w:type="dxa"/>
            <w:tcBorders>
              <w:top w:val="nil"/>
              <w:left w:val="nil"/>
              <w:bottom w:val="single" w:sz="8" w:space="0" w:color="auto"/>
              <w:right w:val="single" w:sz="8" w:space="0" w:color="auto"/>
            </w:tcBorders>
            <w:shd w:val="clear" w:color="auto" w:fill="auto"/>
            <w:vAlign w:val="center"/>
            <w:hideMark/>
          </w:tcPr>
          <w:p w14:paraId="63AF1ED1"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12.0%</w:t>
            </w:r>
          </w:p>
        </w:tc>
        <w:tc>
          <w:tcPr>
            <w:tcW w:w="222" w:type="dxa"/>
            <w:vAlign w:val="center"/>
            <w:hideMark/>
          </w:tcPr>
          <w:p w14:paraId="503E24CC" w14:textId="77777777" w:rsidR="007E0043" w:rsidRPr="00A14298" w:rsidRDefault="007E0043" w:rsidP="0021047A">
            <w:pPr>
              <w:rPr>
                <w:rFonts w:ascii="Times New Roman" w:hAnsi="Times New Roman"/>
                <w:sz w:val="20"/>
                <w:lang w:eastAsia="en-NZ"/>
              </w:rPr>
            </w:pPr>
          </w:p>
        </w:tc>
      </w:tr>
      <w:tr w:rsidR="007E0043" w:rsidRPr="00A14298" w14:paraId="0DD390E6"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28C743FF" w14:textId="77777777" w:rsidR="007E0043" w:rsidRPr="00A14298" w:rsidRDefault="007E0043" w:rsidP="0021047A">
            <w:pPr>
              <w:rPr>
                <w:rFonts w:ascii="Aptos Narrow" w:hAnsi="Aptos Narrow"/>
                <w:color w:val="000000"/>
                <w:sz w:val="22"/>
                <w:szCs w:val="22"/>
                <w:lang w:eastAsia="en-NZ"/>
              </w:rPr>
            </w:pPr>
            <w:r w:rsidRPr="00A14298">
              <w:rPr>
                <w:rFonts w:ascii="Aptos Narrow" w:hAnsi="Aptos Narrow"/>
                <w:color w:val="000000"/>
                <w:sz w:val="22"/>
                <w:szCs w:val="22"/>
                <w:lang w:eastAsia="en-NZ"/>
              </w:rPr>
              <w:t> </w:t>
            </w:r>
          </w:p>
        </w:tc>
        <w:tc>
          <w:tcPr>
            <w:tcW w:w="2820" w:type="dxa"/>
            <w:tcBorders>
              <w:top w:val="nil"/>
              <w:left w:val="nil"/>
              <w:bottom w:val="single" w:sz="8" w:space="0" w:color="auto"/>
              <w:right w:val="single" w:sz="8" w:space="0" w:color="auto"/>
            </w:tcBorders>
            <w:shd w:val="clear" w:color="auto" w:fill="auto"/>
            <w:vAlign w:val="center"/>
            <w:hideMark/>
          </w:tcPr>
          <w:p w14:paraId="7F884801"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South Wairarapa District</w:t>
            </w:r>
          </w:p>
        </w:tc>
        <w:tc>
          <w:tcPr>
            <w:tcW w:w="2080" w:type="dxa"/>
            <w:tcBorders>
              <w:top w:val="nil"/>
              <w:left w:val="nil"/>
              <w:bottom w:val="single" w:sz="8" w:space="0" w:color="auto"/>
              <w:right w:val="single" w:sz="8" w:space="0" w:color="auto"/>
            </w:tcBorders>
            <w:shd w:val="clear" w:color="auto" w:fill="auto"/>
            <w:vAlign w:val="center"/>
            <w:hideMark/>
          </w:tcPr>
          <w:p w14:paraId="2A3F3B50"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$1,408.41</w:t>
            </w:r>
          </w:p>
        </w:tc>
        <w:tc>
          <w:tcPr>
            <w:tcW w:w="2760" w:type="dxa"/>
            <w:tcBorders>
              <w:top w:val="nil"/>
              <w:left w:val="nil"/>
              <w:bottom w:val="single" w:sz="8" w:space="0" w:color="auto"/>
              <w:right w:val="single" w:sz="8" w:space="0" w:color="auto"/>
            </w:tcBorders>
            <w:shd w:val="clear" w:color="auto" w:fill="auto"/>
            <w:vAlign w:val="center"/>
            <w:hideMark/>
          </w:tcPr>
          <w:p w14:paraId="56D323BC"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$187.47</w:t>
            </w:r>
          </w:p>
        </w:tc>
        <w:tc>
          <w:tcPr>
            <w:tcW w:w="2580" w:type="dxa"/>
            <w:tcBorders>
              <w:top w:val="nil"/>
              <w:left w:val="nil"/>
              <w:bottom w:val="single" w:sz="8" w:space="0" w:color="auto"/>
              <w:right w:val="single" w:sz="8" w:space="0" w:color="auto"/>
            </w:tcBorders>
            <w:shd w:val="clear" w:color="auto" w:fill="auto"/>
            <w:vAlign w:val="center"/>
            <w:hideMark/>
          </w:tcPr>
          <w:p w14:paraId="7D0EBB8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$3.61</w:t>
            </w:r>
          </w:p>
        </w:tc>
        <w:tc>
          <w:tcPr>
            <w:tcW w:w="1240" w:type="dxa"/>
            <w:tcBorders>
              <w:top w:val="nil"/>
              <w:left w:val="nil"/>
              <w:bottom w:val="single" w:sz="8" w:space="0" w:color="auto"/>
              <w:right w:val="single" w:sz="8" w:space="0" w:color="auto"/>
            </w:tcBorders>
            <w:shd w:val="clear" w:color="auto" w:fill="auto"/>
            <w:vAlign w:val="center"/>
            <w:hideMark/>
          </w:tcPr>
          <w:p w14:paraId="393E5C1A"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15.4%</w:t>
            </w:r>
          </w:p>
        </w:tc>
        <w:tc>
          <w:tcPr>
            <w:tcW w:w="222" w:type="dxa"/>
            <w:vAlign w:val="center"/>
            <w:hideMark/>
          </w:tcPr>
          <w:p w14:paraId="286034BA" w14:textId="77777777" w:rsidR="007E0043" w:rsidRPr="00A14298" w:rsidRDefault="007E0043" w:rsidP="0021047A">
            <w:pPr>
              <w:rPr>
                <w:rFonts w:ascii="Times New Roman" w:hAnsi="Times New Roman"/>
                <w:sz w:val="20"/>
                <w:lang w:eastAsia="en-NZ"/>
              </w:rPr>
            </w:pPr>
          </w:p>
        </w:tc>
      </w:tr>
      <w:tr w:rsidR="007E0043" w:rsidRPr="00A14298" w14:paraId="310EE48E"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086A8C6B"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Rural </w:t>
            </w:r>
          </w:p>
        </w:tc>
        <w:tc>
          <w:tcPr>
            <w:tcW w:w="2820" w:type="dxa"/>
            <w:tcBorders>
              <w:top w:val="nil"/>
              <w:left w:val="nil"/>
              <w:bottom w:val="single" w:sz="8" w:space="0" w:color="auto"/>
              <w:right w:val="single" w:sz="8" w:space="0" w:color="auto"/>
            </w:tcBorders>
            <w:shd w:val="clear" w:color="auto" w:fill="auto"/>
            <w:vAlign w:val="center"/>
            <w:hideMark/>
          </w:tcPr>
          <w:p w14:paraId="7A999592"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Masterton District</w:t>
            </w:r>
          </w:p>
        </w:tc>
        <w:tc>
          <w:tcPr>
            <w:tcW w:w="2080" w:type="dxa"/>
            <w:tcBorders>
              <w:top w:val="nil"/>
              <w:left w:val="nil"/>
              <w:bottom w:val="single" w:sz="8" w:space="0" w:color="auto"/>
              <w:right w:val="single" w:sz="8" w:space="0" w:color="auto"/>
            </w:tcBorders>
            <w:shd w:val="clear" w:color="auto" w:fill="auto"/>
            <w:vAlign w:val="center"/>
            <w:hideMark/>
          </w:tcPr>
          <w:p w14:paraId="710C04C9"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$712.87</w:t>
            </w:r>
          </w:p>
        </w:tc>
        <w:tc>
          <w:tcPr>
            <w:tcW w:w="2760" w:type="dxa"/>
            <w:tcBorders>
              <w:top w:val="nil"/>
              <w:left w:val="nil"/>
              <w:bottom w:val="single" w:sz="8" w:space="0" w:color="auto"/>
              <w:right w:val="single" w:sz="8" w:space="0" w:color="auto"/>
            </w:tcBorders>
            <w:shd w:val="clear" w:color="auto" w:fill="auto"/>
            <w:vAlign w:val="center"/>
            <w:hideMark/>
          </w:tcPr>
          <w:p w14:paraId="752091D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$10.88</w:t>
            </w:r>
          </w:p>
        </w:tc>
        <w:tc>
          <w:tcPr>
            <w:tcW w:w="2580" w:type="dxa"/>
            <w:tcBorders>
              <w:top w:val="nil"/>
              <w:left w:val="nil"/>
              <w:bottom w:val="single" w:sz="8" w:space="0" w:color="auto"/>
              <w:right w:val="single" w:sz="8" w:space="0" w:color="auto"/>
            </w:tcBorders>
            <w:shd w:val="clear" w:color="auto" w:fill="auto"/>
            <w:vAlign w:val="center"/>
            <w:hideMark/>
          </w:tcPr>
          <w:p w14:paraId="7D8905C7"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$0.21</w:t>
            </w:r>
          </w:p>
        </w:tc>
        <w:tc>
          <w:tcPr>
            <w:tcW w:w="1240" w:type="dxa"/>
            <w:tcBorders>
              <w:top w:val="nil"/>
              <w:left w:val="nil"/>
              <w:bottom w:val="single" w:sz="8" w:space="0" w:color="auto"/>
              <w:right w:val="single" w:sz="8" w:space="0" w:color="auto"/>
            </w:tcBorders>
            <w:shd w:val="clear" w:color="auto" w:fill="auto"/>
            <w:vAlign w:val="center"/>
            <w:hideMark/>
          </w:tcPr>
          <w:p w14:paraId="0CAFA78B"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1.5%</w:t>
            </w:r>
          </w:p>
        </w:tc>
        <w:tc>
          <w:tcPr>
            <w:tcW w:w="222" w:type="dxa"/>
            <w:vAlign w:val="center"/>
            <w:hideMark/>
          </w:tcPr>
          <w:p w14:paraId="49BB49E6" w14:textId="77777777" w:rsidR="007E0043" w:rsidRPr="00A14298" w:rsidRDefault="007E0043" w:rsidP="0021047A">
            <w:pPr>
              <w:rPr>
                <w:rFonts w:ascii="Times New Roman" w:hAnsi="Times New Roman"/>
                <w:sz w:val="20"/>
                <w:lang w:eastAsia="en-NZ"/>
              </w:rPr>
            </w:pPr>
          </w:p>
        </w:tc>
      </w:tr>
      <w:tr w:rsidR="007E0043" w:rsidRPr="00A14298" w14:paraId="0FB225D2"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2362F9EC"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(excl. GST)</w:t>
            </w:r>
          </w:p>
        </w:tc>
        <w:tc>
          <w:tcPr>
            <w:tcW w:w="2820" w:type="dxa"/>
            <w:tcBorders>
              <w:top w:val="nil"/>
              <w:left w:val="nil"/>
              <w:bottom w:val="single" w:sz="8" w:space="0" w:color="auto"/>
              <w:right w:val="single" w:sz="8" w:space="0" w:color="auto"/>
            </w:tcBorders>
            <w:shd w:val="clear" w:color="auto" w:fill="auto"/>
            <w:vAlign w:val="center"/>
            <w:hideMark/>
          </w:tcPr>
          <w:p w14:paraId="271AA083"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Carterton District</w:t>
            </w:r>
          </w:p>
        </w:tc>
        <w:tc>
          <w:tcPr>
            <w:tcW w:w="2080" w:type="dxa"/>
            <w:tcBorders>
              <w:top w:val="nil"/>
              <w:left w:val="nil"/>
              <w:bottom w:val="single" w:sz="8" w:space="0" w:color="auto"/>
              <w:right w:val="single" w:sz="8" w:space="0" w:color="auto"/>
            </w:tcBorders>
            <w:shd w:val="clear" w:color="auto" w:fill="auto"/>
            <w:vAlign w:val="center"/>
            <w:hideMark/>
          </w:tcPr>
          <w:p w14:paraId="438C89E5"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$797.07</w:t>
            </w:r>
          </w:p>
        </w:tc>
        <w:tc>
          <w:tcPr>
            <w:tcW w:w="2760" w:type="dxa"/>
            <w:tcBorders>
              <w:top w:val="nil"/>
              <w:left w:val="nil"/>
              <w:bottom w:val="single" w:sz="8" w:space="0" w:color="auto"/>
              <w:right w:val="single" w:sz="8" w:space="0" w:color="auto"/>
            </w:tcBorders>
            <w:shd w:val="clear" w:color="auto" w:fill="auto"/>
            <w:vAlign w:val="center"/>
            <w:hideMark/>
          </w:tcPr>
          <w:p w14:paraId="0192FAE6"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$79.72</w:t>
            </w:r>
          </w:p>
        </w:tc>
        <w:tc>
          <w:tcPr>
            <w:tcW w:w="2580" w:type="dxa"/>
            <w:tcBorders>
              <w:top w:val="nil"/>
              <w:left w:val="nil"/>
              <w:bottom w:val="single" w:sz="8" w:space="0" w:color="auto"/>
              <w:right w:val="single" w:sz="8" w:space="0" w:color="auto"/>
            </w:tcBorders>
            <w:shd w:val="clear" w:color="auto" w:fill="auto"/>
            <w:vAlign w:val="center"/>
            <w:hideMark/>
          </w:tcPr>
          <w:p w14:paraId="7EB001D3"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$1.53</w:t>
            </w:r>
          </w:p>
        </w:tc>
        <w:tc>
          <w:tcPr>
            <w:tcW w:w="1240" w:type="dxa"/>
            <w:tcBorders>
              <w:top w:val="nil"/>
              <w:left w:val="nil"/>
              <w:bottom w:val="single" w:sz="8" w:space="0" w:color="auto"/>
              <w:right w:val="single" w:sz="8" w:space="0" w:color="auto"/>
            </w:tcBorders>
            <w:shd w:val="clear" w:color="auto" w:fill="auto"/>
            <w:vAlign w:val="center"/>
            <w:hideMark/>
          </w:tcPr>
          <w:p w14:paraId="4142E54D"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11.1%</w:t>
            </w:r>
          </w:p>
        </w:tc>
        <w:tc>
          <w:tcPr>
            <w:tcW w:w="222" w:type="dxa"/>
            <w:vAlign w:val="center"/>
            <w:hideMark/>
          </w:tcPr>
          <w:p w14:paraId="3E63A4B2" w14:textId="77777777" w:rsidR="007E0043" w:rsidRPr="00A14298" w:rsidRDefault="007E0043" w:rsidP="0021047A">
            <w:pPr>
              <w:rPr>
                <w:rFonts w:ascii="Times New Roman" w:hAnsi="Times New Roman"/>
                <w:sz w:val="20"/>
                <w:lang w:eastAsia="en-NZ"/>
              </w:rPr>
            </w:pPr>
          </w:p>
        </w:tc>
      </w:tr>
      <w:tr w:rsidR="007E0043" w:rsidRPr="00A14298" w14:paraId="4EAFAA65"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4061A502"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w:t>
            </w:r>
          </w:p>
        </w:tc>
        <w:tc>
          <w:tcPr>
            <w:tcW w:w="2820" w:type="dxa"/>
            <w:tcBorders>
              <w:top w:val="nil"/>
              <w:left w:val="nil"/>
              <w:bottom w:val="single" w:sz="8" w:space="0" w:color="auto"/>
              <w:right w:val="single" w:sz="8" w:space="0" w:color="auto"/>
            </w:tcBorders>
            <w:shd w:val="clear" w:color="auto" w:fill="auto"/>
            <w:vAlign w:val="center"/>
            <w:hideMark/>
          </w:tcPr>
          <w:p w14:paraId="7D040EA5"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South Wairarapa District</w:t>
            </w:r>
          </w:p>
        </w:tc>
        <w:tc>
          <w:tcPr>
            <w:tcW w:w="2080" w:type="dxa"/>
            <w:tcBorders>
              <w:top w:val="nil"/>
              <w:left w:val="nil"/>
              <w:bottom w:val="single" w:sz="8" w:space="0" w:color="auto"/>
              <w:right w:val="single" w:sz="8" w:space="0" w:color="auto"/>
            </w:tcBorders>
            <w:shd w:val="clear" w:color="auto" w:fill="auto"/>
            <w:vAlign w:val="center"/>
            <w:hideMark/>
          </w:tcPr>
          <w:p w14:paraId="1FB2D6B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$919.10</w:t>
            </w:r>
          </w:p>
        </w:tc>
        <w:tc>
          <w:tcPr>
            <w:tcW w:w="2760" w:type="dxa"/>
            <w:tcBorders>
              <w:top w:val="nil"/>
              <w:left w:val="nil"/>
              <w:bottom w:val="single" w:sz="8" w:space="0" w:color="auto"/>
              <w:right w:val="single" w:sz="8" w:space="0" w:color="auto"/>
            </w:tcBorders>
            <w:shd w:val="clear" w:color="auto" w:fill="auto"/>
            <w:vAlign w:val="center"/>
            <w:hideMark/>
          </w:tcPr>
          <w:p w14:paraId="2AE4E1C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$115.23</w:t>
            </w:r>
          </w:p>
        </w:tc>
        <w:tc>
          <w:tcPr>
            <w:tcW w:w="2580" w:type="dxa"/>
            <w:tcBorders>
              <w:top w:val="nil"/>
              <w:left w:val="nil"/>
              <w:bottom w:val="single" w:sz="8" w:space="0" w:color="auto"/>
              <w:right w:val="single" w:sz="8" w:space="0" w:color="auto"/>
            </w:tcBorders>
            <w:shd w:val="clear" w:color="auto" w:fill="auto"/>
            <w:vAlign w:val="center"/>
            <w:hideMark/>
          </w:tcPr>
          <w:p w14:paraId="29B7912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$2.22</w:t>
            </w:r>
          </w:p>
        </w:tc>
        <w:tc>
          <w:tcPr>
            <w:tcW w:w="1240" w:type="dxa"/>
            <w:tcBorders>
              <w:top w:val="nil"/>
              <w:left w:val="nil"/>
              <w:bottom w:val="single" w:sz="8" w:space="0" w:color="auto"/>
              <w:right w:val="single" w:sz="8" w:space="0" w:color="auto"/>
            </w:tcBorders>
            <w:shd w:val="clear" w:color="auto" w:fill="auto"/>
            <w:vAlign w:val="center"/>
            <w:hideMark/>
          </w:tcPr>
          <w:p w14:paraId="02493010"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14.3%</w:t>
            </w:r>
          </w:p>
        </w:tc>
        <w:tc>
          <w:tcPr>
            <w:tcW w:w="222" w:type="dxa"/>
            <w:vAlign w:val="center"/>
            <w:hideMark/>
          </w:tcPr>
          <w:p w14:paraId="4CC57894" w14:textId="77777777" w:rsidR="007E0043" w:rsidRPr="00A14298" w:rsidRDefault="007E0043" w:rsidP="0021047A">
            <w:pPr>
              <w:rPr>
                <w:rFonts w:ascii="Times New Roman" w:hAnsi="Times New Roman"/>
                <w:sz w:val="20"/>
                <w:lang w:eastAsia="en-NZ"/>
              </w:rPr>
            </w:pPr>
          </w:p>
        </w:tc>
      </w:tr>
      <w:tr w:rsidR="007E0043" w:rsidRPr="00A14298" w14:paraId="0B4D20CD" w14:textId="77777777" w:rsidTr="0021047A">
        <w:trPr>
          <w:trHeight w:val="315"/>
        </w:trPr>
        <w:tc>
          <w:tcPr>
            <w:tcW w:w="2720" w:type="dxa"/>
            <w:tcBorders>
              <w:top w:val="nil"/>
              <w:left w:val="single" w:sz="8" w:space="0" w:color="auto"/>
              <w:bottom w:val="single" w:sz="8" w:space="0" w:color="auto"/>
              <w:right w:val="nil"/>
            </w:tcBorders>
            <w:shd w:val="clear" w:color="auto" w:fill="auto"/>
            <w:vAlign w:val="center"/>
            <w:hideMark/>
          </w:tcPr>
          <w:p w14:paraId="4428D35C"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w:t>
            </w:r>
          </w:p>
        </w:tc>
        <w:tc>
          <w:tcPr>
            <w:tcW w:w="2820" w:type="dxa"/>
            <w:tcBorders>
              <w:top w:val="nil"/>
              <w:left w:val="single" w:sz="8" w:space="0" w:color="auto"/>
              <w:bottom w:val="single" w:sz="8" w:space="0" w:color="auto"/>
              <w:right w:val="single" w:sz="8" w:space="0" w:color="auto"/>
            </w:tcBorders>
            <w:shd w:val="clear" w:color="auto" w:fill="auto"/>
            <w:vAlign w:val="center"/>
            <w:hideMark/>
          </w:tcPr>
          <w:p w14:paraId="6D415520" w14:textId="77777777" w:rsidR="007E0043" w:rsidRPr="00A14298" w:rsidRDefault="007E0043" w:rsidP="0021047A">
            <w:pPr>
              <w:rPr>
                <w:rFonts w:ascii="Calibri" w:hAnsi="Calibri" w:cs="Calibri"/>
                <w:sz w:val="20"/>
                <w:lang w:eastAsia="en-NZ"/>
              </w:rPr>
            </w:pPr>
            <w:proofErr w:type="spellStart"/>
            <w:r w:rsidRPr="00A14298">
              <w:rPr>
                <w:rFonts w:ascii="Calibri" w:hAnsi="Calibri" w:cs="Calibri"/>
                <w:sz w:val="20"/>
                <w:lang w:eastAsia="en-NZ"/>
              </w:rPr>
              <w:t>Tararua</w:t>
            </w:r>
            <w:proofErr w:type="spellEnd"/>
            <w:r w:rsidRPr="00A14298">
              <w:rPr>
                <w:rFonts w:ascii="Calibri" w:hAnsi="Calibri" w:cs="Calibri"/>
                <w:sz w:val="20"/>
                <w:lang w:eastAsia="en-NZ"/>
              </w:rPr>
              <w:t xml:space="preserve"> District</w:t>
            </w:r>
          </w:p>
        </w:tc>
        <w:tc>
          <w:tcPr>
            <w:tcW w:w="2080" w:type="dxa"/>
            <w:tcBorders>
              <w:top w:val="nil"/>
              <w:left w:val="nil"/>
              <w:bottom w:val="single" w:sz="8" w:space="0" w:color="auto"/>
              <w:right w:val="single" w:sz="8" w:space="0" w:color="auto"/>
            </w:tcBorders>
            <w:shd w:val="clear" w:color="auto" w:fill="auto"/>
            <w:vAlign w:val="center"/>
            <w:hideMark/>
          </w:tcPr>
          <w:p w14:paraId="7E6B8B42"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$879.52</w:t>
            </w:r>
          </w:p>
        </w:tc>
        <w:tc>
          <w:tcPr>
            <w:tcW w:w="2760" w:type="dxa"/>
            <w:tcBorders>
              <w:top w:val="nil"/>
              <w:left w:val="nil"/>
              <w:bottom w:val="single" w:sz="8" w:space="0" w:color="auto"/>
              <w:right w:val="single" w:sz="8" w:space="0" w:color="auto"/>
            </w:tcBorders>
            <w:shd w:val="clear" w:color="auto" w:fill="auto"/>
            <w:vAlign w:val="center"/>
            <w:hideMark/>
          </w:tcPr>
          <w:p w14:paraId="7ECA4CB2"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$23.79</w:t>
            </w:r>
          </w:p>
        </w:tc>
        <w:tc>
          <w:tcPr>
            <w:tcW w:w="2580" w:type="dxa"/>
            <w:tcBorders>
              <w:top w:val="nil"/>
              <w:left w:val="nil"/>
              <w:bottom w:val="single" w:sz="8" w:space="0" w:color="auto"/>
              <w:right w:val="single" w:sz="8" w:space="0" w:color="auto"/>
            </w:tcBorders>
            <w:shd w:val="clear" w:color="auto" w:fill="auto"/>
            <w:vAlign w:val="center"/>
            <w:hideMark/>
          </w:tcPr>
          <w:p w14:paraId="31ED5442"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$0.46</w:t>
            </w:r>
          </w:p>
        </w:tc>
        <w:tc>
          <w:tcPr>
            <w:tcW w:w="1240" w:type="dxa"/>
            <w:tcBorders>
              <w:top w:val="nil"/>
              <w:left w:val="nil"/>
              <w:bottom w:val="single" w:sz="8" w:space="0" w:color="auto"/>
              <w:right w:val="single" w:sz="8" w:space="0" w:color="auto"/>
            </w:tcBorders>
            <w:shd w:val="clear" w:color="auto" w:fill="auto"/>
            <w:vAlign w:val="center"/>
            <w:hideMark/>
          </w:tcPr>
          <w:p w14:paraId="78C62ABC"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2.8%</w:t>
            </w:r>
          </w:p>
        </w:tc>
        <w:tc>
          <w:tcPr>
            <w:tcW w:w="222" w:type="dxa"/>
            <w:vAlign w:val="center"/>
            <w:hideMark/>
          </w:tcPr>
          <w:p w14:paraId="6562686E" w14:textId="77777777" w:rsidR="007E0043" w:rsidRPr="00A14298" w:rsidRDefault="007E0043" w:rsidP="0021047A">
            <w:pPr>
              <w:rPr>
                <w:rFonts w:ascii="Times New Roman" w:hAnsi="Times New Roman"/>
                <w:sz w:val="20"/>
                <w:lang w:eastAsia="en-NZ"/>
              </w:rPr>
            </w:pPr>
          </w:p>
        </w:tc>
      </w:tr>
      <w:tr w:rsidR="007E0043" w:rsidRPr="00A14298" w14:paraId="1BC4B278" w14:textId="77777777" w:rsidTr="0021047A">
        <w:trPr>
          <w:trHeight w:val="315"/>
        </w:trPr>
        <w:tc>
          <w:tcPr>
            <w:tcW w:w="2720" w:type="dxa"/>
            <w:tcBorders>
              <w:top w:val="nil"/>
              <w:left w:val="nil"/>
              <w:bottom w:val="nil"/>
              <w:right w:val="nil"/>
            </w:tcBorders>
            <w:shd w:val="clear" w:color="auto" w:fill="auto"/>
            <w:noWrap/>
            <w:vAlign w:val="center"/>
            <w:hideMark/>
          </w:tcPr>
          <w:p w14:paraId="28F00DF9" w14:textId="77777777" w:rsidR="007E0043" w:rsidRPr="00A14298" w:rsidRDefault="007E0043" w:rsidP="0021047A">
            <w:pPr>
              <w:jc w:val="right"/>
              <w:rPr>
                <w:rFonts w:ascii="Aptos Narrow" w:hAnsi="Aptos Narrow"/>
                <w:color w:val="000000"/>
                <w:sz w:val="22"/>
                <w:szCs w:val="22"/>
                <w:lang w:eastAsia="en-NZ"/>
              </w:rPr>
            </w:pPr>
          </w:p>
        </w:tc>
        <w:tc>
          <w:tcPr>
            <w:tcW w:w="2820" w:type="dxa"/>
            <w:tcBorders>
              <w:top w:val="nil"/>
              <w:left w:val="nil"/>
              <w:bottom w:val="nil"/>
              <w:right w:val="nil"/>
            </w:tcBorders>
            <w:shd w:val="clear" w:color="auto" w:fill="auto"/>
            <w:noWrap/>
            <w:vAlign w:val="bottom"/>
            <w:hideMark/>
          </w:tcPr>
          <w:p w14:paraId="1C54D776" w14:textId="77777777" w:rsidR="007E0043" w:rsidRPr="00A14298" w:rsidRDefault="007E0043" w:rsidP="0021047A">
            <w:pPr>
              <w:rPr>
                <w:rFonts w:ascii="Times New Roman" w:hAnsi="Times New Roman"/>
                <w:sz w:val="20"/>
                <w:lang w:eastAsia="en-NZ"/>
              </w:rPr>
            </w:pPr>
          </w:p>
        </w:tc>
        <w:tc>
          <w:tcPr>
            <w:tcW w:w="2080" w:type="dxa"/>
            <w:tcBorders>
              <w:top w:val="nil"/>
              <w:left w:val="nil"/>
              <w:bottom w:val="nil"/>
              <w:right w:val="nil"/>
            </w:tcBorders>
            <w:shd w:val="clear" w:color="auto" w:fill="auto"/>
            <w:noWrap/>
            <w:vAlign w:val="bottom"/>
            <w:hideMark/>
          </w:tcPr>
          <w:p w14:paraId="7DDA80B6" w14:textId="77777777" w:rsidR="007E0043" w:rsidRPr="00A14298" w:rsidRDefault="007E0043" w:rsidP="0021047A">
            <w:pPr>
              <w:rPr>
                <w:rFonts w:ascii="Times New Roman" w:hAnsi="Times New Roman"/>
                <w:sz w:val="20"/>
                <w:lang w:eastAsia="en-NZ"/>
              </w:rPr>
            </w:pPr>
          </w:p>
        </w:tc>
        <w:tc>
          <w:tcPr>
            <w:tcW w:w="2760" w:type="dxa"/>
            <w:tcBorders>
              <w:top w:val="nil"/>
              <w:left w:val="nil"/>
              <w:bottom w:val="nil"/>
              <w:right w:val="nil"/>
            </w:tcBorders>
            <w:shd w:val="clear" w:color="auto" w:fill="auto"/>
            <w:noWrap/>
            <w:vAlign w:val="bottom"/>
            <w:hideMark/>
          </w:tcPr>
          <w:p w14:paraId="4288C4D2" w14:textId="77777777" w:rsidR="007E0043" w:rsidRPr="00A14298" w:rsidRDefault="007E0043" w:rsidP="0021047A">
            <w:pPr>
              <w:rPr>
                <w:rFonts w:ascii="Times New Roman" w:hAnsi="Times New Roman"/>
                <w:sz w:val="20"/>
                <w:lang w:eastAsia="en-NZ"/>
              </w:rPr>
            </w:pPr>
          </w:p>
        </w:tc>
        <w:tc>
          <w:tcPr>
            <w:tcW w:w="2580" w:type="dxa"/>
            <w:tcBorders>
              <w:top w:val="nil"/>
              <w:left w:val="nil"/>
              <w:bottom w:val="nil"/>
              <w:right w:val="nil"/>
            </w:tcBorders>
            <w:shd w:val="clear" w:color="auto" w:fill="auto"/>
            <w:noWrap/>
            <w:vAlign w:val="bottom"/>
            <w:hideMark/>
          </w:tcPr>
          <w:p w14:paraId="13F38C20" w14:textId="77777777" w:rsidR="007E0043" w:rsidRPr="00A14298" w:rsidRDefault="007E0043" w:rsidP="0021047A">
            <w:pPr>
              <w:rPr>
                <w:rFonts w:ascii="Times New Roman" w:hAnsi="Times New Roman"/>
                <w:sz w:val="20"/>
                <w:lang w:eastAsia="en-NZ"/>
              </w:rPr>
            </w:pPr>
          </w:p>
        </w:tc>
        <w:tc>
          <w:tcPr>
            <w:tcW w:w="1240" w:type="dxa"/>
            <w:tcBorders>
              <w:top w:val="nil"/>
              <w:left w:val="nil"/>
              <w:bottom w:val="nil"/>
              <w:right w:val="nil"/>
            </w:tcBorders>
            <w:shd w:val="clear" w:color="auto" w:fill="auto"/>
            <w:noWrap/>
            <w:vAlign w:val="bottom"/>
            <w:hideMark/>
          </w:tcPr>
          <w:p w14:paraId="01536751" w14:textId="77777777" w:rsidR="007E0043" w:rsidRPr="00A14298" w:rsidRDefault="007E0043" w:rsidP="0021047A">
            <w:pPr>
              <w:rPr>
                <w:rFonts w:ascii="Times New Roman" w:hAnsi="Times New Roman"/>
                <w:sz w:val="20"/>
                <w:lang w:eastAsia="en-NZ"/>
              </w:rPr>
            </w:pPr>
          </w:p>
        </w:tc>
        <w:tc>
          <w:tcPr>
            <w:tcW w:w="222" w:type="dxa"/>
            <w:vAlign w:val="center"/>
            <w:hideMark/>
          </w:tcPr>
          <w:p w14:paraId="77AF5109" w14:textId="77777777" w:rsidR="007E0043" w:rsidRPr="00A14298" w:rsidRDefault="007E0043" w:rsidP="0021047A">
            <w:pPr>
              <w:rPr>
                <w:rFonts w:ascii="Times New Roman" w:hAnsi="Times New Roman"/>
                <w:sz w:val="20"/>
                <w:lang w:eastAsia="en-NZ"/>
              </w:rPr>
            </w:pPr>
          </w:p>
        </w:tc>
      </w:tr>
      <w:tr w:rsidR="007E0043" w:rsidRPr="00A14298" w14:paraId="38F8E985" w14:textId="77777777" w:rsidTr="0021047A">
        <w:trPr>
          <w:trHeight w:val="300"/>
        </w:trPr>
        <w:tc>
          <w:tcPr>
            <w:tcW w:w="5540" w:type="dxa"/>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63FF6FB2"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Porirua Average Rates</w:t>
            </w:r>
          </w:p>
        </w:tc>
        <w:tc>
          <w:tcPr>
            <w:tcW w:w="20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96CF227"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 xml:space="preserve">Average </w:t>
            </w:r>
            <w:r>
              <w:rPr>
                <w:rFonts w:ascii="Calibri" w:hAnsi="Calibri" w:cs="Calibri"/>
                <w:b/>
                <w:bCs/>
                <w:sz w:val="20"/>
                <w:lang w:eastAsia="en-NZ"/>
              </w:rPr>
              <w:t xml:space="preserve">Rates </w:t>
            </w:r>
            <w:r w:rsidRPr="00A14298">
              <w:rPr>
                <w:rFonts w:ascii="Calibri" w:hAnsi="Calibri" w:cs="Calibri"/>
                <w:b/>
                <w:bCs/>
                <w:sz w:val="20"/>
                <w:lang w:eastAsia="en-NZ"/>
              </w:rPr>
              <w:t>2025/26</w:t>
            </w:r>
          </w:p>
        </w:tc>
        <w:tc>
          <w:tcPr>
            <w:tcW w:w="276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392B0FD"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annum</w:t>
            </w:r>
          </w:p>
        </w:tc>
        <w:tc>
          <w:tcPr>
            <w:tcW w:w="25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6D9CA62F"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week</w:t>
            </w:r>
          </w:p>
        </w:tc>
        <w:tc>
          <w:tcPr>
            <w:tcW w:w="124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DA055D5"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Increase %</w:t>
            </w:r>
          </w:p>
        </w:tc>
        <w:tc>
          <w:tcPr>
            <w:tcW w:w="222" w:type="dxa"/>
            <w:vAlign w:val="center"/>
            <w:hideMark/>
          </w:tcPr>
          <w:p w14:paraId="7B09907C" w14:textId="77777777" w:rsidR="007E0043" w:rsidRPr="00A14298" w:rsidRDefault="007E0043" w:rsidP="0021047A">
            <w:pPr>
              <w:rPr>
                <w:rFonts w:ascii="Times New Roman" w:hAnsi="Times New Roman"/>
                <w:sz w:val="20"/>
                <w:lang w:eastAsia="en-NZ"/>
              </w:rPr>
            </w:pPr>
          </w:p>
        </w:tc>
      </w:tr>
      <w:tr w:rsidR="007E0043" w:rsidRPr="00A14298" w14:paraId="6B973C45" w14:textId="77777777" w:rsidTr="0021047A">
        <w:trPr>
          <w:trHeight w:val="315"/>
        </w:trPr>
        <w:tc>
          <w:tcPr>
            <w:tcW w:w="5540" w:type="dxa"/>
            <w:gridSpan w:val="2"/>
            <w:vMerge/>
            <w:vAlign w:val="center"/>
            <w:hideMark/>
          </w:tcPr>
          <w:p w14:paraId="4023728D" w14:textId="77777777" w:rsidR="007E0043" w:rsidRPr="00A14298" w:rsidRDefault="007E0043" w:rsidP="0021047A">
            <w:pPr>
              <w:rPr>
                <w:rFonts w:ascii="Calibri" w:hAnsi="Calibri" w:cs="Calibri"/>
                <w:b/>
                <w:bCs/>
                <w:sz w:val="20"/>
                <w:lang w:eastAsia="en-NZ"/>
              </w:rPr>
            </w:pPr>
          </w:p>
        </w:tc>
        <w:tc>
          <w:tcPr>
            <w:tcW w:w="2080" w:type="dxa"/>
            <w:vMerge/>
            <w:vAlign w:val="center"/>
            <w:hideMark/>
          </w:tcPr>
          <w:p w14:paraId="2AEE5FE5" w14:textId="77777777" w:rsidR="007E0043" w:rsidRPr="00A14298" w:rsidRDefault="007E0043" w:rsidP="0021047A">
            <w:pPr>
              <w:rPr>
                <w:rFonts w:ascii="Calibri" w:hAnsi="Calibri" w:cs="Calibri"/>
                <w:b/>
                <w:bCs/>
                <w:sz w:val="20"/>
                <w:lang w:eastAsia="en-NZ"/>
              </w:rPr>
            </w:pPr>
          </w:p>
        </w:tc>
        <w:tc>
          <w:tcPr>
            <w:tcW w:w="2760" w:type="dxa"/>
            <w:vMerge/>
            <w:vAlign w:val="center"/>
            <w:hideMark/>
          </w:tcPr>
          <w:p w14:paraId="15E19169" w14:textId="77777777" w:rsidR="007E0043" w:rsidRPr="00A14298" w:rsidRDefault="007E0043" w:rsidP="0021047A">
            <w:pPr>
              <w:rPr>
                <w:rFonts w:ascii="Calibri" w:hAnsi="Calibri" w:cs="Calibri"/>
                <w:b/>
                <w:bCs/>
                <w:sz w:val="20"/>
                <w:lang w:eastAsia="en-NZ"/>
              </w:rPr>
            </w:pPr>
          </w:p>
        </w:tc>
        <w:tc>
          <w:tcPr>
            <w:tcW w:w="2580" w:type="dxa"/>
            <w:vMerge/>
            <w:vAlign w:val="center"/>
            <w:hideMark/>
          </w:tcPr>
          <w:p w14:paraId="09942BFC" w14:textId="77777777" w:rsidR="007E0043" w:rsidRPr="00A14298" w:rsidRDefault="007E0043" w:rsidP="0021047A">
            <w:pPr>
              <w:rPr>
                <w:rFonts w:ascii="Calibri" w:hAnsi="Calibri" w:cs="Calibri"/>
                <w:b/>
                <w:bCs/>
                <w:sz w:val="20"/>
                <w:lang w:eastAsia="en-NZ"/>
              </w:rPr>
            </w:pPr>
          </w:p>
        </w:tc>
        <w:tc>
          <w:tcPr>
            <w:tcW w:w="1240" w:type="dxa"/>
            <w:vMerge/>
            <w:vAlign w:val="center"/>
            <w:hideMark/>
          </w:tcPr>
          <w:p w14:paraId="146816ED" w14:textId="77777777" w:rsidR="007E0043" w:rsidRPr="00A14298" w:rsidRDefault="007E0043" w:rsidP="0021047A">
            <w:pPr>
              <w:rPr>
                <w:rFonts w:ascii="Calibri" w:hAnsi="Calibri" w:cs="Calibri"/>
                <w:b/>
                <w:bCs/>
                <w:sz w:val="20"/>
                <w:lang w:eastAsia="en-NZ"/>
              </w:rPr>
            </w:pPr>
          </w:p>
        </w:tc>
        <w:tc>
          <w:tcPr>
            <w:tcW w:w="222" w:type="dxa"/>
            <w:tcBorders>
              <w:top w:val="nil"/>
              <w:left w:val="nil"/>
              <w:bottom w:val="nil"/>
              <w:right w:val="nil"/>
            </w:tcBorders>
            <w:shd w:val="clear" w:color="auto" w:fill="auto"/>
            <w:noWrap/>
            <w:vAlign w:val="bottom"/>
            <w:hideMark/>
          </w:tcPr>
          <w:p w14:paraId="7844344C" w14:textId="77777777" w:rsidR="007E0043" w:rsidRPr="00A14298" w:rsidRDefault="007E0043" w:rsidP="0021047A">
            <w:pPr>
              <w:rPr>
                <w:rFonts w:ascii="Calibri" w:hAnsi="Calibri" w:cs="Calibri"/>
                <w:b/>
                <w:bCs/>
                <w:sz w:val="20"/>
                <w:lang w:eastAsia="en-NZ"/>
              </w:rPr>
            </w:pPr>
          </w:p>
        </w:tc>
      </w:tr>
      <w:tr w:rsidR="007E0043" w:rsidRPr="00A14298" w14:paraId="40C99AF5"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23F01C3A"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Residential (incl. GST)</w:t>
            </w:r>
          </w:p>
        </w:tc>
        <w:tc>
          <w:tcPr>
            <w:tcW w:w="2820" w:type="dxa"/>
            <w:tcBorders>
              <w:top w:val="nil"/>
              <w:left w:val="nil"/>
              <w:bottom w:val="nil"/>
              <w:right w:val="single" w:sz="8" w:space="0" w:color="auto"/>
            </w:tcBorders>
            <w:shd w:val="clear" w:color="auto" w:fill="auto"/>
            <w:vAlign w:val="center"/>
            <w:hideMark/>
          </w:tcPr>
          <w:p w14:paraId="4D77ABF8"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Porirua City</w:t>
            </w:r>
          </w:p>
        </w:tc>
        <w:tc>
          <w:tcPr>
            <w:tcW w:w="2080" w:type="dxa"/>
            <w:tcBorders>
              <w:top w:val="nil"/>
              <w:left w:val="nil"/>
              <w:bottom w:val="single" w:sz="8" w:space="0" w:color="auto"/>
              <w:right w:val="single" w:sz="8" w:space="0" w:color="auto"/>
            </w:tcBorders>
            <w:shd w:val="clear" w:color="auto" w:fill="auto"/>
            <w:vAlign w:val="center"/>
            <w:hideMark/>
          </w:tcPr>
          <w:p w14:paraId="030D2D34"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$1,055.51</w:t>
            </w:r>
          </w:p>
        </w:tc>
        <w:tc>
          <w:tcPr>
            <w:tcW w:w="2760" w:type="dxa"/>
            <w:tcBorders>
              <w:top w:val="nil"/>
              <w:left w:val="nil"/>
              <w:bottom w:val="single" w:sz="8" w:space="0" w:color="auto"/>
              <w:right w:val="single" w:sz="8" w:space="0" w:color="auto"/>
            </w:tcBorders>
            <w:shd w:val="clear" w:color="auto" w:fill="auto"/>
            <w:vAlign w:val="center"/>
            <w:hideMark/>
          </w:tcPr>
          <w:p w14:paraId="2B8BCAC8"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$110.13</w:t>
            </w:r>
          </w:p>
        </w:tc>
        <w:tc>
          <w:tcPr>
            <w:tcW w:w="2580" w:type="dxa"/>
            <w:tcBorders>
              <w:top w:val="nil"/>
              <w:left w:val="nil"/>
              <w:bottom w:val="single" w:sz="8" w:space="0" w:color="auto"/>
              <w:right w:val="single" w:sz="8" w:space="0" w:color="auto"/>
            </w:tcBorders>
            <w:shd w:val="clear" w:color="auto" w:fill="auto"/>
            <w:vAlign w:val="center"/>
            <w:hideMark/>
          </w:tcPr>
          <w:p w14:paraId="2CEF188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$2.12</w:t>
            </w:r>
          </w:p>
        </w:tc>
        <w:tc>
          <w:tcPr>
            <w:tcW w:w="1240" w:type="dxa"/>
            <w:tcBorders>
              <w:top w:val="nil"/>
              <w:left w:val="nil"/>
              <w:bottom w:val="single" w:sz="8" w:space="0" w:color="auto"/>
              <w:right w:val="single" w:sz="8" w:space="0" w:color="auto"/>
            </w:tcBorders>
            <w:shd w:val="clear" w:color="auto" w:fill="auto"/>
            <w:vAlign w:val="center"/>
            <w:hideMark/>
          </w:tcPr>
          <w:p w14:paraId="6B8DA50C"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11.6%</w:t>
            </w:r>
          </w:p>
        </w:tc>
        <w:tc>
          <w:tcPr>
            <w:tcW w:w="222" w:type="dxa"/>
            <w:vAlign w:val="center"/>
            <w:hideMark/>
          </w:tcPr>
          <w:p w14:paraId="3401B6AB" w14:textId="77777777" w:rsidR="007E0043" w:rsidRPr="00A14298" w:rsidRDefault="007E0043" w:rsidP="0021047A">
            <w:pPr>
              <w:rPr>
                <w:rFonts w:ascii="Times New Roman" w:hAnsi="Times New Roman"/>
                <w:sz w:val="20"/>
                <w:lang w:eastAsia="en-NZ"/>
              </w:rPr>
            </w:pPr>
          </w:p>
        </w:tc>
      </w:tr>
      <w:tr w:rsidR="007E0043" w:rsidRPr="00A14298" w14:paraId="3217ADEC" w14:textId="77777777" w:rsidTr="0021047A">
        <w:trPr>
          <w:trHeight w:val="315"/>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4A84DF"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Business (excl. GST)</w:t>
            </w:r>
          </w:p>
        </w:tc>
        <w:tc>
          <w:tcPr>
            <w:tcW w:w="2820" w:type="dxa"/>
            <w:tcBorders>
              <w:top w:val="single" w:sz="8" w:space="0" w:color="auto"/>
              <w:left w:val="nil"/>
              <w:bottom w:val="nil"/>
              <w:right w:val="single" w:sz="8" w:space="0" w:color="auto"/>
            </w:tcBorders>
            <w:shd w:val="clear" w:color="auto" w:fill="auto"/>
            <w:vAlign w:val="center"/>
            <w:hideMark/>
          </w:tcPr>
          <w:p w14:paraId="72D806A5"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Porirua City</w:t>
            </w:r>
          </w:p>
        </w:tc>
        <w:tc>
          <w:tcPr>
            <w:tcW w:w="2080" w:type="dxa"/>
            <w:tcBorders>
              <w:top w:val="nil"/>
              <w:left w:val="nil"/>
              <w:bottom w:val="single" w:sz="8" w:space="0" w:color="auto"/>
              <w:right w:val="single" w:sz="8" w:space="0" w:color="auto"/>
            </w:tcBorders>
            <w:shd w:val="clear" w:color="auto" w:fill="auto"/>
            <w:vAlign w:val="center"/>
            <w:hideMark/>
          </w:tcPr>
          <w:p w14:paraId="6483EB83"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$2,622.54</w:t>
            </w:r>
          </w:p>
        </w:tc>
        <w:tc>
          <w:tcPr>
            <w:tcW w:w="2760" w:type="dxa"/>
            <w:tcBorders>
              <w:top w:val="nil"/>
              <w:left w:val="nil"/>
              <w:bottom w:val="single" w:sz="8" w:space="0" w:color="auto"/>
              <w:right w:val="single" w:sz="8" w:space="0" w:color="auto"/>
            </w:tcBorders>
            <w:shd w:val="clear" w:color="auto" w:fill="auto"/>
            <w:vAlign w:val="center"/>
            <w:hideMark/>
          </w:tcPr>
          <w:p w14:paraId="33EEFF4B"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$200.98</w:t>
            </w:r>
          </w:p>
        </w:tc>
        <w:tc>
          <w:tcPr>
            <w:tcW w:w="2580" w:type="dxa"/>
            <w:tcBorders>
              <w:top w:val="nil"/>
              <w:left w:val="nil"/>
              <w:bottom w:val="single" w:sz="8" w:space="0" w:color="auto"/>
              <w:right w:val="single" w:sz="8" w:space="0" w:color="auto"/>
            </w:tcBorders>
            <w:shd w:val="clear" w:color="auto" w:fill="auto"/>
            <w:vAlign w:val="center"/>
            <w:hideMark/>
          </w:tcPr>
          <w:p w14:paraId="72C4C000"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$3.87</w:t>
            </w:r>
          </w:p>
        </w:tc>
        <w:tc>
          <w:tcPr>
            <w:tcW w:w="1240" w:type="dxa"/>
            <w:tcBorders>
              <w:top w:val="nil"/>
              <w:left w:val="nil"/>
              <w:bottom w:val="single" w:sz="8" w:space="0" w:color="auto"/>
              <w:right w:val="single" w:sz="8" w:space="0" w:color="auto"/>
            </w:tcBorders>
            <w:shd w:val="clear" w:color="auto" w:fill="auto"/>
            <w:vAlign w:val="center"/>
            <w:hideMark/>
          </w:tcPr>
          <w:p w14:paraId="0106C574"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8.3%</w:t>
            </w:r>
          </w:p>
        </w:tc>
        <w:tc>
          <w:tcPr>
            <w:tcW w:w="222" w:type="dxa"/>
            <w:vAlign w:val="center"/>
            <w:hideMark/>
          </w:tcPr>
          <w:p w14:paraId="7BD19395" w14:textId="77777777" w:rsidR="007E0043" w:rsidRPr="00A14298" w:rsidRDefault="007E0043" w:rsidP="0021047A">
            <w:pPr>
              <w:rPr>
                <w:rFonts w:ascii="Times New Roman" w:hAnsi="Times New Roman"/>
                <w:sz w:val="20"/>
                <w:lang w:eastAsia="en-NZ"/>
              </w:rPr>
            </w:pPr>
          </w:p>
        </w:tc>
      </w:tr>
      <w:tr w:rsidR="007E0043" w:rsidRPr="00A14298" w14:paraId="6D56EEFD"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5178003D"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Rural (excl. GST)</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14:paraId="03AE0545"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Porirua City</w:t>
            </w:r>
          </w:p>
        </w:tc>
        <w:tc>
          <w:tcPr>
            <w:tcW w:w="2080" w:type="dxa"/>
            <w:tcBorders>
              <w:top w:val="nil"/>
              <w:left w:val="nil"/>
              <w:bottom w:val="single" w:sz="8" w:space="0" w:color="auto"/>
              <w:right w:val="single" w:sz="8" w:space="0" w:color="auto"/>
            </w:tcBorders>
            <w:shd w:val="clear" w:color="auto" w:fill="auto"/>
            <w:vAlign w:val="center"/>
            <w:hideMark/>
          </w:tcPr>
          <w:p w14:paraId="460CEB21"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$1,207.18</w:t>
            </w:r>
          </w:p>
        </w:tc>
        <w:tc>
          <w:tcPr>
            <w:tcW w:w="2760" w:type="dxa"/>
            <w:tcBorders>
              <w:top w:val="nil"/>
              <w:left w:val="nil"/>
              <w:bottom w:val="single" w:sz="8" w:space="0" w:color="auto"/>
              <w:right w:val="single" w:sz="8" w:space="0" w:color="auto"/>
            </w:tcBorders>
            <w:shd w:val="clear" w:color="auto" w:fill="auto"/>
            <w:vAlign w:val="center"/>
            <w:hideMark/>
          </w:tcPr>
          <w:p w14:paraId="78A51A44"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$120.61</w:t>
            </w:r>
          </w:p>
        </w:tc>
        <w:tc>
          <w:tcPr>
            <w:tcW w:w="2580" w:type="dxa"/>
            <w:tcBorders>
              <w:top w:val="nil"/>
              <w:left w:val="nil"/>
              <w:bottom w:val="single" w:sz="8" w:space="0" w:color="auto"/>
              <w:right w:val="single" w:sz="8" w:space="0" w:color="auto"/>
            </w:tcBorders>
            <w:shd w:val="clear" w:color="auto" w:fill="auto"/>
            <w:vAlign w:val="center"/>
            <w:hideMark/>
          </w:tcPr>
          <w:p w14:paraId="70ED9544"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$2.32</w:t>
            </w:r>
          </w:p>
        </w:tc>
        <w:tc>
          <w:tcPr>
            <w:tcW w:w="1240" w:type="dxa"/>
            <w:tcBorders>
              <w:top w:val="nil"/>
              <w:left w:val="nil"/>
              <w:bottom w:val="single" w:sz="8" w:space="0" w:color="auto"/>
              <w:right w:val="single" w:sz="8" w:space="0" w:color="auto"/>
            </w:tcBorders>
            <w:shd w:val="clear" w:color="auto" w:fill="auto"/>
            <w:vAlign w:val="center"/>
            <w:hideMark/>
          </w:tcPr>
          <w:p w14:paraId="65844790"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11.1%</w:t>
            </w:r>
          </w:p>
        </w:tc>
        <w:tc>
          <w:tcPr>
            <w:tcW w:w="222" w:type="dxa"/>
            <w:vAlign w:val="center"/>
            <w:hideMark/>
          </w:tcPr>
          <w:p w14:paraId="1EBA54E1" w14:textId="77777777" w:rsidR="007E0043" w:rsidRPr="00A14298" w:rsidRDefault="007E0043" w:rsidP="0021047A">
            <w:pPr>
              <w:rPr>
                <w:rFonts w:ascii="Times New Roman" w:hAnsi="Times New Roman"/>
                <w:sz w:val="20"/>
                <w:lang w:eastAsia="en-NZ"/>
              </w:rPr>
            </w:pPr>
          </w:p>
        </w:tc>
      </w:tr>
      <w:tr w:rsidR="007E0043" w:rsidRPr="00A14298" w14:paraId="10AAACC7" w14:textId="77777777" w:rsidTr="0021047A">
        <w:trPr>
          <w:trHeight w:val="315"/>
        </w:trPr>
        <w:tc>
          <w:tcPr>
            <w:tcW w:w="2720" w:type="dxa"/>
            <w:tcBorders>
              <w:top w:val="nil"/>
              <w:left w:val="nil"/>
              <w:bottom w:val="nil"/>
              <w:right w:val="nil"/>
            </w:tcBorders>
            <w:shd w:val="clear" w:color="auto" w:fill="auto"/>
            <w:noWrap/>
            <w:vAlign w:val="center"/>
            <w:hideMark/>
          </w:tcPr>
          <w:p w14:paraId="3B1B430A" w14:textId="77777777" w:rsidR="007E0043" w:rsidRPr="00A14298" w:rsidRDefault="007E0043" w:rsidP="0021047A">
            <w:pPr>
              <w:jc w:val="right"/>
              <w:rPr>
                <w:rFonts w:ascii="Aptos Narrow" w:hAnsi="Aptos Narrow"/>
                <w:color w:val="000000"/>
                <w:sz w:val="22"/>
                <w:szCs w:val="22"/>
                <w:lang w:eastAsia="en-NZ"/>
              </w:rPr>
            </w:pPr>
          </w:p>
        </w:tc>
        <w:tc>
          <w:tcPr>
            <w:tcW w:w="2820" w:type="dxa"/>
            <w:tcBorders>
              <w:top w:val="nil"/>
              <w:left w:val="nil"/>
              <w:bottom w:val="nil"/>
              <w:right w:val="nil"/>
            </w:tcBorders>
            <w:shd w:val="clear" w:color="auto" w:fill="auto"/>
            <w:noWrap/>
            <w:vAlign w:val="bottom"/>
            <w:hideMark/>
          </w:tcPr>
          <w:p w14:paraId="1FE7BC76" w14:textId="77777777" w:rsidR="007E0043" w:rsidRPr="00A14298" w:rsidRDefault="007E0043" w:rsidP="0021047A">
            <w:pPr>
              <w:rPr>
                <w:rFonts w:ascii="Times New Roman" w:hAnsi="Times New Roman"/>
                <w:sz w:val="20"/>
                <w:lang w:eastAsia="en-NZ"/>
              </w:rPr>
            </w:pPr>
          </w:p>
        </w:tc>
        <w:tc>
          <w:tcPr>
            <w:tcW w:w="2080" w:type="dxa"/>
            <w:tcBorders>
              <w:top w:val="nil"/>
              <w:left w:val="nil"/>
              <w:bottom w:val="nil"/>
              <w:right w:val="nil"/>
            </w:tcBorders>
            <w:shd w:val="clear" w:color="auto" w:fill="auto"/>
            <w:noWrap/>
            <w:vAlign w:val="bottom"/>
            <w:hideMark/>
          </w:tcPr>
          <w:p w14:paraId="1835CEF1" w14:textId="77777777" w:rsidR="007E0043" w:rsidRPr="00A14298" w:rsidRDefault="007E0043" w:rsidP="0021047A">
            <w:pPr>
              <w:rPr>
                <w:rFonts w:ascii="Times New Roman" w:hAnsi="Times New Roman"/>
                <w:sz w:val="20"/>
                <w:lang w:eastAsia="en-NZ"/>
              </w:rPr>
            </w:pPr>
          </w:p>
        </w:tc>
        <w:tc>
          <w:tcPr>
            <w:tcW w:w="2760" w:type="dxa"/>
            <w:tcBorders>
              <w:top w:val="nil"/>
              <w:left w:val="nil"/>
              <w:bottom w:val="nil"/>
              <w:right w:val="nil"/>
            </w:tcBorders>
            <w:shd w:val="clear" w:color="auto" w:fill="auto"/>
            <w:noWrap/>
            <w:vAlign w:val="bottom"/>
            <w:hideMark/>
          </w:tcPr>
          <w:p w14:paraId="63509F62" w14:textId="77777777" w:rsidR="007E0043" w:rsidRPr="00A14298" w:rsidRDefault="007E0043" w:rsidP="0021047A">
            <w:pPr>
              <w:rPr>
                <w:rFonts w:ascii="Times New Roman" w:hAnsi="Times New Roman"/>
                <w:sz w:val="20"/>
                <w:lang w:eastAsia="en-NZ"/>
              </w:rPr>
            </w:pPr>
          </w:p>
        </w:tc>
        <w:tc>
          <w:tcPr>
            <w:tcW w:w="2580" w:type="dxa"/>
            <w:tcBorders>
              <w:top w:val="nil"/>
              <w:left w:val="nil"/>
              <w:bottom w:val="nil"/>
              <w:right w:val="nil"/>
            </w:tcBorders>
            <w:shd w:val="clear" w:color="auto" w:fill="auto"/>
            <w:noWrap/>
            <w:vAlign w:val="bottom"/>
            <w:hideMark/>
          </w:tcPr>
          <w:p w14:paraId="26FF5668" w14:textId="77777777" w:rsidR="007E0043" w:rsidRPr="00A14298" w:rsidRDefault="007E0043" w:rsidP="0021047A">
            <w:pPr>
              <w:rPr>
                <w:rFonts w:ascii="Times New Roman" w:hAnsi="Times New Roman"/>
                <w:sz w:val="20"/>
                <w:lang w:eastAsia="en-NZ"/>
              </w:rPr>
            </w:pPr>
          </w:p>
        </w:tc>
        <w:tc>
          <w:tcPr>
            <w:tcW w:w="1240" w:type="dxa"/>
            <w:tcBorders>
              <w:top w:val="nil"/>
              <w:left w:val="nil"/>
              <w:bottom w:val="nil"/>
              <w:right w:val="nil"/>
            </w:tcBorders>
            <w:shd w:val="clear" w:color="auto" w:fill="auto"/>
            <w:noWrap/>
            <w:vAlign w:val="bottom"/>
            <w:hideMark/>
          </w:tcPr>
          <w:p w14:paraId="2CA2AB86" w14:textId="77777777" w:rsidR="007E0043" w:rsidRPr="00A14298" w:rsidRDefault="007E0043" w:rsidP="0021047A">
            <w:pPr>
              <w:rPr>
                <w:rFonts w:ascii="Times New Roman" w:hAnsi="Times New Roman"/>
                <w:sz w:val="20"/>
                <w:lang w:eastAsia="en-NZ"/>
              </w:rPr>
            </w:pPr>
          </w:p>
        </w:tc>
        <w:tc>
          <w:tcPr>
            <w:tcW w:w="222" w:type="dxa"/>
            <w:vAlign w:val="center"/>
            <w:hideMark/>
          </w:tcPr>
          <w:p w14:paraId="779B020D" w14:textId="77777777" w:rsidR="007E0043" w:rsidRPr="00A14298" w:rsidRDefault="007E0043" w:rsidP="0021047A">
            <w:pPr>
              <w:rPr>
                <w:rFonts w:ascii="Times New Roman" w:hAnsi="Times New Roman"/>
                <w:sz w:val="20"/>
                <w:lang w:eastAsia="en-NZ"/>
              </w:rPr>
            </w:pPr>
          </w:p>
        </w:tc>
      </w:tr>
      <w:tr w:rsidR="007E0043" w:rsidRPr="00A14298" w14:paraId="33C2E628" w14:textId="77777777" w:rsidTr="0021047A">
        <w:trPr>
          <w:trHeight w:val="300"/>
        </w:trPr>
        <w:tc>
          <w:tcPr>
            <w:tcW w:w="5540" w:type="dxa"/>
            <w:gridSpan w:val="2"/>
            <w:vMerge w:val="restart"/>
            <w:tcBorders>
              <w:top w:val="single" w:sz="8" w:space="0" w:color="auto"/>
              <w:left w:val="single" w:sz="8" w:space="0" w:color="auto"/>
              <w:bottom w:val="nil"/>
              <w:right w:val="single" w:sz="8" w:space="0" w:color="000000" w:themeColor="text1"/>
            </w:tcBorders>
            <w:shd w:val="clear" w:color="auto" w:fill="auto"/>
            <w:vAlign w:val="center"/>
            <w:hideMark/>
          </w:tcPr>
          <w:p w14:paraId="7EB31219" w14:textId="77777777" w:rsidR="007E0043" w:rsidRPr="00A14298" w:rsidRDefault="007E0043" w:rsidP="0021047A">
            <w:pPr>
              <w:jc w:val="center"/>
              <w:rPr>
                <w:rFonts w:ascii="Calibri" w:hAnsi="Calibri" w:cs="Calibri"/>
                <w:b/>
                <w:bCs/>
                <w:sz w:val="20"/>
                <w:lang w:eastAsia="en-NZ"/>
              </w:rPr>
            </w:pPr>
            <w:proofErr w:type="spellStart"/>
            <w:r w:rsidRPr="00A14298">
              <w:rPr>
                <w:rFonts w:ascii="Calibri" w:hAnsi="Calibri" w:cs="Calibri"/>
                <w:b/>
                <w:bCs/>
                <w:sz w:val="20"/>
                <w:lang w:eastAsia="en-NZ"/>
              </w:rPr>
              <w:t>Kāpiti</w:t>
            </w:r>
            <w:proofErr w:type="spellEnd"/>
            <w:r w:rsidRPr="00A14298">
              <w:rPr>
                <w:rFonts w:ascii="Calibri" w:hAnsi="Calibri" w:cs="Calibri"/>
                <w:b/>
                <w:bCs/>
                <w:sz w:val="20"/>
                <w:lang w:eastAsia="en-NZ"/>
              </w:rPr>
              <w:t xml:space="preserve"> Coast Average Rates</w:t>
            </w:r>
          </w:p>
        </w:tc>
        <w:tc>
          <w:tcPr>
            <w:tcW w:w="2080" w:type="dxa"/>
            <w:vMerge w:val="restart"/>
            <w:tcBorders>
              <w:top w:val="single" w:sz="8" w:space="0" w:color="auto"/>
              <w:left w:val="single" w:sz="8" w:space="0" w:color="auto"/>
              <w:bottom w:val="nil"/>
              <w:right w:val="single" w:sz="8" w:space="0" w:color="auto"/>
            </w:tcBorders>
            <w:shd w:val="clear" w:color="auto" w:fill="auto"/>
            <w:vAlign w:val="center"/>
            <w:hideMark/>
          </w:tcPr>
          <w:p w14:paraId="36CA580C"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 xml:space="preserve">Average </w:t>
            </w:r>
            <w:r>
              <w:rPr>
                <w:rFonts w:ascii="Calibri" w:hAnsi="Calibri" w:cs="Calibri"/>
                <w:b/>
                <w:bCs/>
                <w:sz w:val="20"/>
                <w:lang w:eastAsia="en-NZ"/>
              </w:rPr>
              <w:t xml:space="preserve">Rates </w:t>
            </w:r>
            <w:r w:rsidRPr="00A14298">
              <w:rPr>
                <w:rFonts w:ascii="Calibri" w:hAnsi="Calibri" w:cs="Calibri"/>
                <w:b/>
                <w:bCs/>
                <w:sz w:val="20"/>
                <w:lang w:eastAsia="en-NZ"/>
              </w:rPr>
              <w:t>2025/26</w:t>
            </w:r>
          </w:p>
        </w:tc>
        <w:tc>
          <w:tcPr>
            <w:tcW w:w="2760" w:type="dxa"/>
            <w:vMerge w:val="restart"/>
            <w:tcBorders>
              <w:top w:val="single" w:sz="8" w:space="0" w:color="auto"/>
              <w:left w:val="single" w:sz="8" w:space="0" w:color="auto"/>
              <w:bottom w:val="nil"/>
              <w:right w:val="single" w:sz="8" w:space="0" w:color="auto"/>
            </w:tcBorders>
            <w:shd w:val="clear" w:color="auto" w:fill="auto"/>
            <w:vAlign w:val="center"/>
            <w:hideMark/>
          </w:tcPr>
          <w:p w14:paraId="0BA08DB8"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annum</w:t>
            </w:r>
          </w:p>
        </w:tc>
        <w:tc>
          <w:tcPr>
            <w:tcW w:w="2580" w:type="dxa"/>
            <w:vMerge w:val="restart"/>
            <w:tcBorders>
              <w:top w:val="single" w:sz="8" w:space="0" w:color="auto"/>
              <w:left w:val="single" w:sz="8" w:space="0" w:color="auto"/>
              <w:bottom w:val="nil"/>
              <w:right w:val="single" w:sz="8" w:space="0" w:color="auto"/>
            </w:tcBorders>
            <w:shd w:val="clear" w:color="auto" w:fill="auto"/>
            <w:vAlign w:val="center"/>
            <w:hideMark/>
          </w:tcPr>
          <w:p w14:paraId="296978A7"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week</w:t>
            </w:r>
          </w:p>
        </w:tc>
        <w:tc>
          <w:tcPr>
            <w:tcW w:w="124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E4669F8"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Increase %</w:t>
            </w:r>
          </w:p>
        </w:tc>
        <w:tc>
          <w:tcPr>
            <w:tcW w:w="222" w:type="dxa"/>
            <w:vAlign w:val="center"/>
            <w:hideMark/>
          </w:tcPr>
          <w:p w14:paraId="7E5C3DFC" w14:textId="77777777" w:rsidR="007E0043" w:rsidRPr="00A14298" w:rsidRDefault="007E0043" w:rsidP="0021047A">
            <w:pPr>
              <w:rPr>
                <w:rFonts w:ascii="Times New Roman" w:hAnsi="Times New Roman"/>
                <w:sz w:val="20"/>
                <w:lang w:eastAsia="en-NZ"/>
              </w:rPr>
            </w:pPr>
          </w:p>
        </w:tc>
      </w:tr>
      <w:tr w:rsidR="007E0043" w:rsidRPr="00A14298" w14:paraId="0DAE2815" w14:textId="77777777" w:rsidTr="0021047A">
        <w:trPr>
          <w:trHeight w:val="315"/>
        </w:trPr>
        <w:tc>
          <w:tcPr>
            <w:tcW w:w="5540" w:type="dxa"/>
            <w:gridSpan w:val="2"/>
            <w:vMerge/>
            <w:vAlign w:val="center"/>
            <w:hideMark/>
          </w:tcPr>
          <w:p w14:paraId="57045EE0" w14:textId="77777777" w:rsidR="007E0043" w:rsidRPr="00A14298" w:rsidRDefault="007E0043" w:rsidP="0021047A">
            <w:pPr>
              <w:rPr>
                <w:rFonts w:ascii="Calibri" w:hAnsi="Calibri" w:cs="Calibri"/>
                <w:b/>
                <w:bCs/>
                <w:sz w:val="20"/>
                <w:lang w:eastAsia="en-NZ"/>
              </w:rPr>
            </w:pPr>
          </w:p>
        </w:tc>
        <w:tc>
          <w:tcPr>
            <w:tcW w:w="2080" w:type="dxa"/>
            <w:vMerge/>
            <w:vAlign w:val="center"/>
            <w:hideMark/>
          </w:tcPr>
          <w:p w14:paraId="5DB8A91D" w14:textId="77777777" w:rsidR="007E0043" w:rsidRPr="00A14298" w:rsidRDefault="007E0043" w:rsidP="0021047A">
            <w:pPr>
              <w:rPr>
                <w:rFonts w:ascii="Calibri" w:hAnsi="Calibri" w:cs="Calibri"/>
                <w:b/>
                <w:bCs/>
                <w:sz w:val="20"/>
                <w:lang w:eastAsia="en-NZ"/>
              </w:rPr>
            </w:pPr>
          </w:p>
        </w:tc>
        <w:tc>
          <w:tcPr>
            <w:tcW w:w="2760" w:type="dxa"/>
            <w:vMerge/>
            <w:vAlign w:val="center"/>
            <w:hideMark/>
          </w:tcPr>
          <w:p w14:paraId="103CB367" w14:textId="77777777" w:rsidR="007E0043" w:rsidRPr="00A14298" w:rsidRDefault="007E0043" w:rsidP="0021047A">
            <w:pPr>
              <w:rPr>
                <w:rFonts w:ascii="Calibri" w:hAnsi="Calibri" w:cs="Calibri"/>
                <w:b/>
                <w:bCs/>
                <w:sz w:val="20"/>
                <w:lang w:eastAsia="en-NZ"/>
              </w:rPr>
            </w:pPr>
          </w:p>
        </w:tc>
        <w:tc>
          <w:tcPr>
            <w:tcW w:w="2580" w:type="dxa"/>
            <w:vMerge/>
            <w:vAlign w:val="center"/>
            <w:hideMark/>
          </w:tcPr>
          <w:p w14:paraId="03BB1F2F" w14:textId="77777777" w:rsidR="007E0043" w:rsidRPr="00A14298" w:rsidRDefault="007E0043" w:rsidP="0021047A">
            <w:pPr>
              <w:rPr>
                <w:rFonts w:ascii="Calibri" w:hAnsi="Calibri" w:cs="Calibri"/>
                <w:b/>
                <w:bCs/>
                <w:sz w:val="20"/>
                <w:lang w:eastAsia="en-NZ"/>
              </w:rPr>
            </w:pPr>
          </w:p>
        </w:tc>
        <w:tc>
          <w:tcPr>
            <w:tcW w:w="1240" w:type="dxa"/>
            <w:vMerge/>
            <w:vAlign w:val="center"/>
            <w:hideMark/>
          </w:tcPr>
          <w:p w14:paraId="3CA7FA5B" w14:textId="77777777" w:rsidR="007E0043" w:rsidRPr="00A14298" w:rsidRDefault="007E0043" w:rsidP="0021047A">
            <w:pPr>
              <w:rPr>
                <w:rFonts w:ascii="Calibri" w:hAnsi="Calibri" w:cs="Calibri"/>
                <w:b/>
                <w:bCs/>
                <w:sz w:val="20"/>
                <w:lang w:eastAsia="en-NZ"/>
              </w:rPr>
            </w:pPr>
          </w:p>
        </w:tc>
        <w:tc>
          <w:tcPr>
            <w:tcW w:w="222" w:type="dxa"/>
            <w:tcBorders>
              <w:top w:val="nil"/>
              <w:left w:val="nil"/>
              <w:bottom w:val="nil"/>
              <w:right w:val="nil"/>
            </w:tcBorders>
            <w:shd w:val="clear" w:color="auto" w:fill="auto"/>
            <w:noWrap/>
            <w:vAlign w:val="bottom"/>
            <w:hideMark/>
          </w:tcPr>
          <w:p w14:paraId="133C5C50" w14:textId="77777777" w:rsidR="007E0043" w:rsidRPr="00A14298" w:rsidRDefault="007E0043" w:rsidP="0021047A">
            <w:pPr>
              <w:rPr>
                <w:rFonts w:ascii="Calibri" w:hAnsi="Calibri" w:cs="Calibri"/>
                <w:b/>
                <w:bCs/>
                <w:sz w:val="20"/>
                <w:lang w:eastAsia="en-NZ"/>
              </w:rPr>
            </w:pPr>
          </w:p>
        </w:tc>
      </w:tr>
      <w:tr w:rsidR="007E0043" w:rsidRPr="00A14298" w14:paraId="09827E5C" w14:textId="77777777" w:rsidTr="0021047A">
        <w:trPr>
          <w:trHeight w:val="315"/>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457E3"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Residential </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14:paraId="71EC8A63" w14:textId="77777777" w:rsidR="007E0043" w:rsidRPr="00A14298" w:rsidRDefault="007E0043" w:rsidP="0021047A">
            <w:pPr>
              <w:rPr>
                <w:rFonts w:ascii="Calibri" w:hAnsi="Calibri" w:cs="Calibri"/>
                <w:sz w:val="20"/>
                <w:lang w:eastAsia="en-NZ"/>
              </w:rPr>
            </w:pPr>
            <w:proofErr w:type="spellStart"/>
            <w:r w:rsidRPr="00A14298">
              <w:rPr>
                <w:rFonts w:ascii="Calibri" w:hAnsi="Calibri" w:cs="Calibri"/>
                <w:sz w:val="20"/>
                <w:lang w:eastAsia="en-NZ"/>
              </w:rPr>
              <w:t>Kāpiti</w:t>
            </w:r>
            <w:proofErr w:type="spellEnd"/>
            <w:r w:rsidRPr="00A14298">
              <w:rPr>
                <w:rFonts w:ascii="Calibri" w:hAnsi="Calibri" w:cs="Calibri"/>
                <w:sz w:val="20"/>
                <w:lang w:eastAsia="en-NZ"/>
              </w:rPr>
              <w:t xml:space="preserve"> Coast district excl</w:t>
            </w:r>
            <w:r>
              <w:rPr>
                <w:rFonts w:ascii="Calibri" w:hAnsi="Calibri" w:cs="Calibri"/>
                <w:sz w:val="20"/>
                <w:lang w:eastAsia="en-NZ"/>
              </w:rPr>
              <w:t>.</w:t>
            </w:r>
            <w:r w:rsidRPr="00A14298">
              <w:rPr>
                <w:rFonts w:ascii="Calibri" w:hAnsi="Calibri" w:cs="Calibri"/>
                <w:sz w:val="20"/>
                <w:lang w:eastAsia="en-NZ"/>
              </w:rPr>
              <w:t xml:space="preserve"> Ōtaki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1A85D999"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$1,149.01</w:t>
            </w:r>
          </w:p>
        </w:tc>
        <w:tc>
          <w:tcPr>
            <w:tcW w:w="2760" w:type="dxa"/>
            <w:tcBorders>
              <w:top w:val="single" w:sz="8" w:space="0" w:color="auto"/>
              <w:left w:val="nil"/>
              <w:bottom w:val="single" w:sz="8" w:space="0" w:color="auto"/>
              <w:right w:val="single" w:sz="8" w:space="0" w:color="auto"/>
            </w:tcBorders>
            <w:shd w:val="clear" w:color="auto" w:fill="auto"/>
            <w:vAlign w:val="center"/>
            <w:hideMark/>
          </w:tcPr>
          <w:p w14:paraId="1BF99023"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$157.44</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501B421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$3.03</w:t>
            </w:r>
          </w:p>
        </w:tc>
        <w:tc>
          <w:tcPr>
            <w:tcW w:w="1240" w:type="dxa"/>
            <w:tcBorders>
              <w:top w:val="nil"/>
              <w:left w:val="nil"/>
              <w:bottom w:val="single" w:sz="8" w:space="0" w:color="auto"/>
              <w:right w:val="single" w:sz="8" w:space="0" w:color="auto"/>
            </w:tcBorders>
            <w:shd w:val="clear" w:color="auto" w:fill="auto"/>
            <w:vAlign w:val="center"/>
            <w:hideMark/>
          </w:tcPr>
          <w:p w14:paraId="40C4439A"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15.9%</w:t>
            </w:r>
          </w:p>
        </w:tc>
        <w:tc>
          <w:tcPr>
            <w:tcW w:w="222" w:type="dxa"/>
            <w:vAlign w:val="center"/>
            <w:hideMark/>
          </w:tcPr>
          <w:p w14:paraId="44624875" w14:textId="77777777" w:rsidR="007E0043" w:rsidRPr="00A14298" w:rsidRDefault="007E0043" w:rsidP="0021047A">
            <w:pPr>
              <w:rPr>
                <w:rFonts w:ascii="Times New Roman" w:hAnsi="Times New Roman"/>
                <w:sz w:val="20"/>
                <w:lang w:eastAsia="en-NZ"/>
              </w:rPr>
            </w:pPr>
          </w:p>
        </w:tc>
      </w:tr>
      <w:tr w:rsidR="007E0043" w:rsidRPr="00A14298" w14:paraId="4B1312EA"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6E363855"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(incl. GST)</w:t>
            </w:r>
          </w:p>
        </w:tc>
        <w:tc>
          <w:tcPr>
            <w:tcW w:w="2820" w:type="dxa"/>
            <w:tcBorders>
              <w:top w:val="nil"/>
              <w:left w:val="nil"/>
              <w:bottom w:val="single" w:sz="8" w:space="0" w:color="auto"/>
              <w:right w:val="single" w:sz="8" w:space="0" w:color="auto"/>
            </w:tcBorders>
            <w:shd w:val="clear" w:color="auto" w:fill="auto"/>
            <w:vAlign w:val="center"/>
            <w:hideMark/>
          </w:tcPr>
          <w:p w14:paraId="311BF576"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Ōtaki rating area</w:t>
            </w:r>
          </w:p>
        </w:tc>
        <w:tc>
          <w:tcPr>
            <w:tcW w:w="2080" w:type="dxa"/>
            <w:tcBorders>
              <w:top w:val="nil"/>
              <w:left w:val="nil"/>
              <w:bottom w:val="single" w:sz="8" w:space="0" w:color="auto"/>
              <w:right w:val="single" w:sz="8" w:space="0" w:color="auto"/>
            </w:tcBorders>
            <w:shd w:val="clear" w:color="auto" w:fill="auto"/>
            <w:vAlign w:val="center"/>
            <w:hideMark/>
          </w:tcPr>
          <w:p w14:paraId="18A48EF4"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$619.28</w:t>
            </w:r>
          </w:p>
        </w:tc>
        <w:tc>
          <w:tcPr>
            <w:tcW w:w="2760" w:type="dxa"/>
            <w:tcBorders>
              <w:top w:val="nil"/>
              <w:left w:val="nil"/>
              <w:bottom w:val="single" w:sz="8" w:space="0" w:color="auto"/>
              <w:right w:val="single" w:sz="8" w:space="0" w:color="auto"/>
            </w:tcBorders>
            <w:shd w:val="clear" w:color="auto" w:fill="auto"/>
            <w:vAlign w:val="center"/>
            <w:hideMark/>
          </w:tcPr>
          <w:p w14:paraId="7C0CED5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$79.75</w:t>
            </w:r>
          </w:p>
        </w:tc>
        <w:tc>
          <w:tcPr>
            <w:tcW w:w="2580" w:type="dxa"/>
            <w:tcBorders>
              <w:top w:val="nil"/>
              <w:left w:val="nil"/>
              <w:bottom w:val="single" w:sz="8" w:space="0" w:color="auto"/>
              <w:right w:val="single" w:sz="8" w:space="0" w:color="auto"/>
            </w:tcBorders>
            <w:shd w:val="clear" w:color="auto" w:fill="auto"/>
            <w:vAlign w:val="center"/>
            <w:hideMark/>
          </w:tcPr>
          <w:p w14:paraId="16FB4156"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$1.53</w:t>
            </w:r>
          </w:p>
        </w:tc>
        <w:tc>
          <w:tcPr>
            <w:tcW w:w="1240" w:type="dxa"/>
            <w:tcBorders>
              <w:top w:val="nil"/>
              <w:left w:val="nil"/>
              <w:bottom w:val="single" w:sz="8" w:space="0" w:color="auto"/>
              <w:right w:val="single" w:sz="8" w:space="0" w:color="auto"/>
            </w:tcBorders>
            <w:shd w:val="clear" w:color="auto" w:fill="auto"/>
            <w:vAlign w:val="center"/>
            <w:hideMark/>
          </w:tcPr>
          <w:p w14:paraId="40064267"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14.8%</w:t>
            </w:r>
          </w:p>
        </w:tc>
        <w:tc>
          <w:tcPr>
            <w:tcW w:w="222" w:type="dxa"/>
            <w:vAlign w:val="center"/>
            <w:hideMark/>
          </w:tcPr>
          <w:p w14:paraId="4B2E522B" w14:textId="77777777" w:rsidR="007E0043" w:rsidRPr="00A14298" w:rsidRDefault="007E0043" w:rsidP="0021047A">
            <w:pPr>
              <w:rPr>
                <w:rFonts w:ascii="Times New Roman" w:hAnsi="Times New Roman"/>
                <w:sz w:val="20"/>
                <w:lang w:eastAsia="en-NZ"/>
              </w:rPr>
            </w:pPr>
          </w:p>
        </w:tc>
      </w:tr>
      <w:tr w:rsidR="007E0043" w:rsidRPr="00A14298" w14:paraId="46229EB6"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5C965F0"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lastRenderedPageBreak/>
              <w:t>Business (excl. GST)</w:t>
            </w:r>
          </w:p>
        </w:tc>
        <w:tc>
          <w:tcPr>
            <w:tcW w:w="2820" w:type="dxa"/>
            <w:tcBorders>
              <w:top w:val="nil"/>
              <w:left w:val="nil"/>
              <w:bottom w:val="nil"/>
              <w:right w:val="single" w:sz="8" w:space="0" w:color="auto"/>
            </w:tcBorders>
            <w:shd w:val="clear" w:color="auto" w:fill="auto"/>
            <w:vAlign w:val="center"/>
            <w:hideMark/>
          </w:tcPr>
          <w:p w14:paraId="0A58743E" w14:textId="77777777" w:rsidR="007E0043" w:rsidRPr="00A14298" w:rsidRDefault="007E0043" w:rsidP="0021047A">
            <w:pPr>
              <w:rPr>
                <w:rFonts w:ascii="Calibri" w:hAnsi="Calibri" w:cs="Calibri"/>
                <w:sz w:val="20"/>
                <w:lang w:eastAsia="en-NZ"/>
              </w:rPr>
            </w:pPr>
            <w:proofErr w:type="spellStart"/>
            <w:r w:rsidRPr="00A14298">
              <w:rPr>
                <w:rFonts w:ascii="Calibri" w:hAnsi="Calibri" w:cs="Calibri"/>
                <w:sz w:val="20"/>
                <w:lang w:eastAsia="en-NZ"/>
              </w:rPr>
              <w:t>Kāpiti</w:t>
            </w:r>
            <w:proofErr w:type="spellEnd"/>
            <w:r w:rsidRPr="00A14298">
              <w:rPr>
                <w:rFonts w:ascii="Calibri" w:hAnsi="Calibri" w:cs="Calibri"/>
                <w:sz w:val="20"/>
                <w:lang w:eastAsia="en-NZ"/>
              </w:rPr>
              <w:t xml:space="preserve"> Coast District</w:t>
            </w:r>
          </w:p>
        </w:tc>
        <w:tc>
          <w:tcPr>
            <w:tcW w:w="2080" w:type="dxa"/>
            <w:tcBorders>
              <w:top w:val="nil"/>
              <w:left w:val="nil"/>
              <w:bottom w:val="single" w:sz="8" w:space="0" w:color="auto"/>
              <w:right w:val="single" w:sz="8" w:space="0" w:color="auto"/>
            </w:tcBorders>
            <w:shd w:val="clear" w:color="auto" w:fill="auto"/>
            <w:vAlign w:val="center"/>
            <w:hideMark/>
          </w:tcPr>
          <w:p w14:paraId="7E703002"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$2,475.34</w:t>
            </w:r>
          </w:p>
        </w:tc>
        <w:tc>
          <w:tcPr>
            <w:tcW w:w="2760" w:type="dxa"/>
            <w:tcBorders>
              <w:top w:val="nil"/>
              <w:left w:val="nil"/>
              <w:bottom w:val="single" w:sz="8" w:space="0" w:color="auto"/>
              <w:right w:val="single" w:sz="8" w:space="0" w:color="auto"/>
            </w:tcBorders>
            <w:shd w:val="clear" w:color="auto" w:fill="auto"/>
            <w:vAlign w:val="center"/>
            <w:hideMark/>
          </w:tcPr>
          <w:p w14:paraId="30EEB37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$303.92</w:t>
            </w:r>
          </w:p>
        </w:tc>
        <w:tc>
          <w:tcPr>
            <w:tcW w:w="2580" w:type="dxa"/>
            <w:tcBorders>
              <w:top w:val="nil"/>
              <w:left w:val="nil"/>
              <w:bottom w:val="single" w:sz="8" w:space="0" w:color="auto"/>
              <w:right w:val="single" w:sz="8" w:space="0" w:color="auto"/>
            </w:tcBorders>
            <w:shd w:val="clear" w:color="auto" w:fill="auto"/>
            <w:vAlign w:val="center"/>
            <w:hideMark/>
          </w:tcPr>
          <w:p w14:paraId="50689881"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$5.84</w:t>
            </w:r>
          </w:p>
        </w:tc>
        <w:tc>
          <w:tcPr>
            <w:tcW w:w="1240" w:type="dxa"/>
            <w:tcBorders>
              <w:top w:val="nil"/>
              <w:left w:val="nil"/>
              <w:bottom w:val="single" w:sz="8" w:space="0" w:color="auto"/>
              <w:right w:val="single" w:sz="8" w:space="0" w:color="auto"/>
            </w:tcBorders>
            <w:shd w:val="clear" w:color="auto" w:fill="auto"/>
            <w:vAlign w:val="center"/>
            <w:hideMark/>
          </w:tcPr>
          <w:p w14:paraId="57AF5B63"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14.0%</w:t>
            </w:r>
          </w:p>
        </w:tc>
        <w:tc>
          <w:tcPr>
            <w:tcW w:w="222" w:type="dxa"/>
            <w:vAlign w:val="center"/>
            <w:hideMark/>
          </w:tcPr>
          <w:p w14:paraId="7D51CC96" w14:textId="77777777" w:rsidR="007E0043" w:rsidRPr="00A14298" w:rsidRDefault="007E0043" w:rsidP="0021047A">
            <w:pPr>
              <w:rPr>
                <w:rFonts w:ascii="Times New Roman" w:hAnsi="Times New Roman"/>
                <w:sz w:val="20"/>
                <w:lang w:eastAsia="en-NZ"/>
              </w:rPr>
            </w:pPr>
          </w:p>
        </w:tc>
      </w:tr>
      <w:tr w:rsidR="007E0043" w:rsidRPr="00A14298" w14:paraId="7667F7F3" w14:textId="77777777" w:rsidTr="0021047A">
        <w:trPr>
          <w:trHeight w:val="52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392F8EA6"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Rural </w:t>
            </w:r>
            <w:r w:rsidRPr="00A14298">
              <w:rPr>
                <w:rFonts w:ascii="Calibri" w:hAnsi="Calibri" w:cs="Calibri"/>
                <w:b/>
                <w:bCs/>
                <w:sz w:val="20"/>
                <w:lang w:eastAsia="en-NZ"/>
              </w:rPr>
              <w:br/>
              <w:t>(excl. GST)</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14:paraId="70804AAC" w14:textId="77777777" w:rsidR="007E0043" w:rsidRPr="00A14298" w:rsidRDefault="007E0043" w:rsidP="0021047A">
            <w:pPr>
              <w:rPr>
                <w:rFonts w:ascii="Calibri" w:hAnsi="Calibri" w:cs="Calibri"/>
                <w:sz w:val="20"/>
                <w:lang w:eastAsia="en-NZ"/>
              </w:rPr>
            </w:pPr>
            <w:proofErr w:type="spellStart"/>
            <w:r w:rsidRPr="00A14298">
              <w:rPr>
                <w:rFonts w:ascii="Calibri" w:hAnsi="Calibri" w:cs="Calibri"/>
                <w:sz w:val="20"/>
                <w:lang w:eastAsia="en-NZ"/>
              </w:rPr>
              <w:t>Kāpiti</w:t>
            </w:r>
            <w:proofErr w:type="spellEnd"/>
            <w:r w:rsidRPr="00A14298">
              <w:rPr>
                <w:rFonts w:ascii="Calibri" w:hAnsi="Calibri" w:cs="Calibri"/>
                <w:sz w:val="20"/>
                <w:lang w:eastAsia="en-NZ"/>
              </w:rPr>
              <w:t xml:space="preserve"> Coast District</w:t>
            </w:r>
          </w:p>
        </w:tc>
        <w:tc>
          <w:tcPr>
            <w:tcW w:w="2080" w:type="dxa"/>
            <w:tcBorders>
              <w:top w:val="nil"/>
              <w:left w:val="nil"/>
              <w:bottom w:val="single" w:sz="8" w:space="0" w:color="auto"/>
              <w:right w:val="single" w:sz="8" w:space="0" w:color="auto"/>
            </w:tcBorders>
            <w:shd w:val="clear" w:color="auto" w:fill="auto"/>
            <w:vAlign w:val="center"/>
            <w:hideMark/>
          </w:tcPr>
          <w:p w14:paraId="04BD968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$891.68</w:t>
            </w:r>
          </w:p>
        </w:tc>
        <w:tc>
          <w:tcPr>
            <w:tcW w:w="2760" w:type="dxa"/>
            <w:tcBorders>
              <w:top w:val="nil"/>
              <w:left w:val="nil"/>
              <w:bottom w:val="single" w:sz="8" w:space="0" w:color="auto"/>
              <w:right w:val="single" w:sz="8" w:space="0" w:color="auto"/>
            </w:tcBorders>
            <w:shd w:val="clear" w:color="auto" w:fill="auto"/>
            <w:vAlign w:val="center"/>
            <w:hideMark/>
          </w:tcPr>
          <w:p w14:paraId="784598FA"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$117.67</w:t>
            </w:r>
          </w:p>
        </w:tc>
        <w:tc>
          <w:tcPr>
            <w:tcW w:w="2580" w:type="dxa"/>
            <w:tcBorders>
              <w:top w:val="nil"/>
              <w:left w:val="nil"/>
              <w:bottom w:val="single" w:sz="8" w:space="0" w:color="auto"/>
              <w:right w:val="single" w:sz="8" w:space="0" w:color="auto"/>
            </w:tcBorders>
            <w:shd w:val="clear" w:color="auto" w:fill="auto"/>
            <w:vAlign w:val="center"/>
            <w:hideMark/>
          </w:tcPr>
          <w:p w14:paraId="210AB565"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$2.26</w:t>
            </w:r>
          </w:p>
        </w:tc>
        <w:tc>
          <w:tcPr>
            <w:tcW w:w="1240" w:type="dxa"/>
            <w:tcBorders>
              <w:top w:val="nil"/>
              <w:left w:val="nil"/>
              <w:bottom w:val="single" w:sz="8" w:space="0" w:color="auto"/>
              <w:right w:val="single" w:sz="8" w:space="0" w:color="auto"/>
            </w:tcBorders>
            <w:shd w:val="clear" w:color="auto" w:fill="auto"/>
            <w:vAlign w:val="center"/>
            <w:hideMark/>
          </w:tcPr>
          <w:p w14:paraId="32DD9FDC"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15.2%</w:t>
            </w:r>
          </w:p>
        </w:tc>
        <w:tc>
          <w:tcPr>
            <w:tcW w:w="222" w:type="dxa"/>
            <w:vAlign w:val="center"/>
            <w:hideMark/>
          </w:tcPr>
          <w:p w14:paraId="7B4A8F4A" w14:textId="77777777" w:rsidR="007E0043" w:rsidRPr="00A14298" w:rsidRDefault="007E0043" w:rsidP="0021047A">
            <w:pPr>
              <w:rPr>
                <w:rFonts w:ascii="Times New Roman" w:hAnsi="Times New Roman"/>
                <w:sz w:val="20"/>
                <w:lang w:eastAsia="en-NZ"/>
              </w:rPr>
            </w:pPr>
          </w:p>
        </w:tc>
      </w:tr>
      <w:tr w:rsidR="007E0043" w:rsidRPr="00A14298" w14:paraId="17F7BE36" w14:textId="77777777" w:rsidTr="0021047A">
        <w:trPr>
          <w:trHeight w:val="300"/>
        </w:trPr>
        <w:tc>
          <w:tcPr>
            <w:tcW w:w="2720" w:type="dxa"/>
            <w:tcBorders>
              <w:top w:val="nil"/>
              <w:left w:val="nil"/>
              <w:bottom w:val="nil"/>
              <w:right w:val="nil"/>
            </w:tcBorders>
            <w:shd w:val="clear" w:color="auto" w:fill="auto"/>
            <w:noWrap/>
            <w:vAlign w:val="bottom"/>
            <w:hideMark/>
          </w:tcPr>
          <w:p w14:paraId="0DA01F0A" w14:textId="77777777" w:rsidR="007E0043" w:rsidRPr="00A14298" w:rsidRDefault="007E0043" w:rsidP="0021047A">
            <w:pPr>
              <w:jc w:val="right"/>
              <w:rPr>
                <w:rFonts w:ascii="Aptos Narrow" w:hAnsi="Aptos Narrow"/>
                <w:color w:val="000000"/>
                <w:sz w:val="22"/>
                <w:szCs w:val="22"/>
                <w:lang w:eastAsia="en-NZ"/>
              </w:rPr>
            </w:pPr>
          </w:p>
        </w:tc>
        <w:tc>
          <w:tcPr>
            <w:tcW w:w="2820" w:type="dxa"/>
            <w:tcBorders>
              <w:top w:val="nil"/>
              <w:left w:val="nil"/>
              <w:bottom w:val="nil"/>
              <w:right w:val="nil"/>
            </w:tcBorders>
            <w:shd w:val="clear" w:color="auto" w:fill="auto"/>
            <w:noWrap/>
            <w:vAlign w:val="bottom"/>
            <w:hideMark/>
          </w:tcPr>
          <w:p w14:paraId="52D37C8D" w14:textId="77777777" w:rsidR="007E0043" w:rsidRPr="00A14298" w:rsidRDefault="007E0043" w:rsidP="0021047A">
            <w:pPr>
              <w:rPr>
                <w:rFonts w:ascii="Times New Roman" w:hAnsi="Times New Roman"/>
                <w:sz w:val="20"/>
                <w:lang w:eastAsia="en-NZ"/>
              </w:rPr>
            </w:pPr>
          </w:p>
        </w:tc>
        <w:tc>
          <w:tcPr>
            <w:tcW w:w="2080" w:type="dxa"/>
            <w:tcBorders>
              <w:top w:val="nil"/>
              <w:left w:val="nil"/>
              <w:bottom w:val="nil"/>
              <w:right w:val="nil"/>
            </w:tcBorders>
            <w:shd w:val="clear" w:color="auto" w:fill="auto"/>
            <w:noWrap/>
            <w:vAlign w:val="bottom"/>
            <w:hideMark/>
          </w:tcPr>
          <w:p w14:paraId="165E16B9" w14:textId="77777777" w:rsidR="007E0043" w:rsidRPr="00A14298" w:rsidRDefault="007E0043" w:rsidP="0021047A">
            <w:pPr>
              <w:rPr>
                <w:rFonts w:ascii="Times New Roman" w:hAnsi="Times New Roman"/>
                <w:sz w:val="20"/>
                <w:lang w:eastAsia="en-NZ"/>
              </w:rPr>
            </w:pPr>
          </w:p>
        </w:tc>
        <w:tc>
          <w:tcPr>
            <w:tcW w:w="2760" w:type="dxa"/>
            <w:tcBorders>
              <w:top w:val="nil"/>
              <w:left w:val="nil"/>
              <w:bottom w:val="nil"/>
              <w:right w:val="nil"/>
            </w:tcBorders>
            <w:shd w:val="clear" w:color="auto" w:fill="auto"/>
            <w:noWrap/>
            <w:vAlign w:val="bottom"/>
            <w:hideMark/>
          </w:tcPr>
          <w:p w14:paraId="329A8775" w14:textId="77777777" w:rsidR="007E0043" w:rsidRPr="00A14298" w:rsidRDefault="007E0043" w:rsidP="0021047A">
            <w:pPr>
              <w:rPr>
                <w:rFonts w:ascii="Times New Roman" w:hAnsi="Times New Roman"/>
                <w:sz w:val="20"/>
                <w:lang w:eastAsia="en-NZ"/>
              </w:rPr>
            </w:pPr>
          </w:p>
        </w:tc>
        <w:tc>
          <w:tcPr>
            <w:tcW w:w="2580" w:type="dxa"/>
            <w:tcBorders>
              <w:top w:val="nil"/>
              <w:left w:val="nil"/>
              <w:bottom w:val="nil"/>
              <w:right w:val="nil"/>
            </w:tcBorders>
            <w:shd w:val="clear" w:color="auto" w:fill="auto"/>
            <w:noWrap/>
            <w:vAlign w:val="bottom"/>
            <w:hideMark/>
          </w:tcPr>
          <w:p w14:paraId="6D4B5B95" w14:textId="77777777" w:rsidR="007E0043" w:rsidRPr="00A14298" w:rsidRDefault="007E0043" w:rsidP="0021047A">
            <w:pPr>
              <w:rPr>
                <w:rFonts w:ascii="Times New Roman" w:hAnsi="Times New Roman"/>
                <w:sz w:val="20"/>
                <w:lang w:eastAsia="en-NZ"/>
              </w:rPr>
            </w:pPr>
          </w:p>
        </w:tc>
        <w:tc>
          <w:tcPr>
            <w:tcW w:w="1240" w:type="dxa"/>
            <w:tcBorders>
              <w:top w:val="nil"/>
              <w:left w:val="nil"/>
              <w:bottom w:val="nil"/>
              <w:right w:val="nil"/>
            </w:tcBorders>
            <w:shd w:val="clear" w:color="auto" w:fill="auto"/>
            <w:noWrap/>
            <w:vAlign w:val="bottom"/>
            <w:hideMark/>
          </w:tcPr>
          <w:p w14:paraId="7F05594A" w14:textId="77777777" w:rsidR="007E0043" w:rsidRPr="00A14298" w:rsidRDefault="007E0043" w:rsidP="0021047A">
            <w:pPr>
              <w:rPr>
                <w:rFonts w:ascii="Times New Roman" w:hAnsi="Times New Roman"/>
                <w:sz w:val="20"/>
                <w:lang w:eastAsia="en-NZ"/>
              </w:rPr>
            </w:pPr>
          </w:p>
        </w:tc>
        <w:tc>
          <w:tcPr>
            <w:tcW w:w="222" w:type="dxa"/>
            <w:vAlign w:val="center"/>
            <w:hideMark/>
          </w:tcPr>
          <w:p w14:paraId="0B3F56F5" w14:textId="77777777" w:rsidR="007E0043" w:rsidRPr="00A14298" w:rsidRDefault="007E0043" w:rsidP="0021047A">
            <w:pPr>
              <w:rPr>
                <w:rFonts w:ascii="Times New Roman" w:hAnsi="Times New Roman"/>
                <w:sz w:val="20"/>
                <w:lang w:eastAsia="en-NZ"/>
              </w:rPr>
            </w:pPr>
          </w:p>
        </w:tc>
      </w:tr>
      <w:tr w:rsidR="007E0043" w:rsidRPr="00A14298" w14:paraId="07F2D327" w14:textId="77777777" w:rsidTr="0021047A">
        <w:trPr>
          <w:trHeight w:val="315"/>
        </w:trPr>
        <w:tc>
          <w:tcPr>
            <w:tcW w:w="2720" w:type="dxa"/>
            <w:tcBorders>
              <w:top w:val="nil"/>
              <w:left w:val="nil"/>
              <w:bottom w:val="nil"/>
              <w:right w:val="nil"/>
            </w:tcBorders>
            <w:shd w:val="clear" w:color="auto" w:fill="auto"/>
            <w:noWrap/>
            <w:vAlign w:val="center"/>
            <w:hideMark/>
          </w:tcPr>
          <w:p w14:paraId="1648E2DB" w14:textId="77777777" w:rsidR="007E0043" w:rsidRPr="00A14298" w:rsidRDefault="007E0043" w:rsidP="0021047A">
            <w:pPr>
              <w:rPr>
                <w:rFonts w:ascii="Times New Roman" w:hAnsi="Times New Roman"/>
                <w:sz w:val="20"/>
                <w:lang w:eastAsia="en-NZ"/>
              </w:rPr>
            </w:pPr>
          </w:p>
        </w:tc>
        <w:tc>
          <w:tcPr>
            <w:tcW w:w="2820" w:type="dxa"/>
            <w:tcBorders>
              <w:top w:val="nil"/>
              <w:left w:val="nil"/>
              <w:bottom w:val="nil"/>
              <w:right w:val="nil"/>
            </w:tcBorders>
            <w:shd w:val="clear" w:color="auto" w:fill="auto"/>
            <w:noWrap/>
            <w:vAlign w:val="bottom"/>
            <w:hideMark/>
          </w:tcPr>
          <w:p w14:paraId="053398BF" w14:textId="77777777" w:rsidR="007E0043" w:rsidRPr="00A14298" w:rsidRDefault="007E0043" w:rsidP="0021047A">
            <w:pPr>
              <w:rPr>
                <w:rFonts w:ascii="Times New Roman" w:hAnsi="Times New Roman"/>
                <w:sz w:val="20"/>
                <w:lang w:eastAsia="en-NZ"/>
              </w:rPr>
            </w:pPr>
          </w:p>
        </w:tc>
        <w:tc>
          <w:tcPr>
            <w:tcW w:w="2080" w:type="dxa"/>
            <w:tcBorders>
              <w:top w:val="nil"/>
              <w:left w:val="nil"/>
              <w:bottom w:val="nil"/>
              <w:right w:val="nil"/>
            </w:tcBorders>
            <w:shd w:val="clear" w:color="auto" w:fill="auto"/>
            <w:noWrap/>
            <w:vAlign w:val="bottom"/>
            <w:hideMark/>
          </w:tcPr>
          <w:p w14:paraId="277778CE" w14:textId="77777777" w:rsidR="007E0043" w:rsidRPr="00A14298" w:rsidRDefault="007E0043" w:rsidP="0021047A">
            <w:pPr>
              <w:rPr>
                <w:rFonts w:ascii="Times New Roman" w:hAnsi="Times New Roman"/>
                <w:sz w:val="20"/>
                <w:lang w:eastAsia="en-NZ"/>
              </w:rPr>
            </w:pPr>
          </w:p>
        </w:tc>
        <w:tc>
          <w:tcPr>
            <w:tcW w:w="2760" w:type="dxa"/>
            <w:tcBorders>
              <w:top w:val="nil"/>
              <w:left w:val="nil"/>
              <w:bottom w:val="nil"/>
              <w:right w:val="nil"/>
            </w:tcBorders>
            <w:shd w:val="clear" w:color="auto" w:fill="auto"/>
            <w:noWrap/>
            <w:vAlign w:val="bottom"/>
            <w:hideMark/>
          </w:tcPr>
          <w:p w14:paraId="2D625120" w14:textId="77777777" w:rsidR="007E0043" w:rsidRPr="00A14298" w:rsidRDefault="007E0043" w:rsidP="0021047A">
            <w:pPr>
              <w:rPr>
                <w:rFonts w:ascii="Times New Roman" w:hAnsi="Times New Roman"/>
                <w:sz w:val="20"/>
                <w:lang w:eastAsia="en-NZ"/>
              </w:rPr>
            </w:pPr>
          </w:p>
        </w:tc>
        <w:tc>
          <w:tcPr>
            <w:tcW w:w="2580" w:type="dxa"/>
            <w:tcBorders>
              <w:top w:val="nil"/>
              <w:left w:val="nil"/>
              <w:bottom w:val="nil"/>
              <w:right w:val="nil"/>
            </w:tcBorders>
            <w:shd w:val="clear" w:color="auto" w:fill="auto"/>
            <w:noWrap/>
            <w:vAlign w:val="bottom"/>
            <w:hideMark/>
          </w:tcPr>
          <w:p w14:paraId="2FCF0DBF" w14:textId="77777777" w:rsidR="007E0043" w:rsidRPr="00A14298" w:rsidRDefault="007E0043" w:rsidP="0021047A">
            <w:pPr>
              <w:rPr>
                <w:rFonts w:ascii="Times New Roman" w:hAnsi="Times New Roman"/>
                <w:sz w:val="20"/>
                <w:lang w:eastAsia="en-NZ"/>
              </w:rPr>
            </w:pPr>
          </w:p>
        </w:tc>
        <w:tc>
          <w:tcPr>
            <w:tcW w:w="1240" w:type="dxa"/>
            <w:tcBorders>
              <w:top w:val="nil"/>
              <w:left w:val="nil"/>
              <w:bottom w:val="nil"/>
              <w:right w:val="nil"/>
            </w:tcBorders>
            <w:shd w:val="clear" w:color="auto" w:fill="auto"/>
            <w:noWrap/>
            <w:vAlign w:val="bottom"/>
            <w:hideMark/>
          </w:tcPr>
          <w:p w14:paraId="354F190D" w14:textId="77777777" w:rsidR="007E0043" w:rsidRPr="00A14298" w:rsidRDefault="007E0043" w:rsidP="0021047A">
            <w:pPr>
              <w:rPr>
                <w:rFonts w:ascii="Times New Roman" w:hAnsi="Times New Roman"/>
                <w:sz w:val="20"/>
                <w:lang w:eastAsia="en-NZ"/>
              </w:rPr>
            </w:pPr>
          </w:p>
        </w:tc>
        <w:tc>
          <w:tcPr>
            <w:tcW w:w="222" w:type="dxa"/>
            <w:vAlign w:val="center"/>
            <w:hideMark/>
          </w:tcPr>
          <w:p w14:paraId="3680D832" w14:textId="77777777" w:rsidR="007E0043" w:rsidRPr="00A14298" w:rsidRDefault="007E0043" w:rsidP="0021047A">
            <w:pPr>
              <w:rPr>
                <w:rFonts w:ascii="Times New Roman" w:hAnsi="Times New Roman"/>
                <w:sz w:val="20"/>
                <w:lang w:eastAsia="en-NZ"/>
              </w:rPr>
            </w:pPr>
          </w:p>
        </w:tc>
      </w:tr>
      <w:tr w:rsidR="007E0043" w:rsidRPr="00A14298" w14:paraId="691DEB42" w14:textId="77777777" w:rsidTr="0021047A">
        <w:trPr>
          <w:trHeight w:val="300"/>
        </w:trPr>
        <w:tc>
          <w:tcPr>
            <w:tcW w:w="5540" w:type="dxa"/>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099B429B"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Hutt Valley Average Rates</w:t>
            </w:r>
          </w:p>
        </w:tc>
        <w:tc>
          <w:tcPr>
            <w:tcW w:w="20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456FA12" w14:textId="77777777" w:rsidR="007E0043" w:rsidRPr="00A14298" w:rsidRDefault="007E0043" w:rsidP="0021047A">
            <w:pPr>
              <w:jc w:val="center"/>
              <w:rPr>
                <w:rFonts w:ascii="Calibri" w:hAnsi="Calibri" w:cs="Calibri"/>
                <w:b/>
                <w:bCs/>
                <w:sz w:val="20"/>
                <w:lang w:eastAsia="en-NZ"/>
              </w:rPr>
            </w:pPr>
            <w:r w:rsidRPr="00A14298">
              <w:rPr>
                <w:rFonts w:ascii="Calibri" w:hAnsi="Calibri" w:cs="Calibri"/>
                <w:b/>
                <w:bCs/>
                <w:sz w:val="20"/>
                <w:lang w:eastAsia="en-NZ"/>
              </w:rPr>
              <w:t xml:space="preserve">Average </w:t>
            </w:r>
            <w:r>
              <w:rPr>
                <w:rFonts w:ascii="Calibri" w:hAnsi="Calibri" w:cs="Calibri"/>
                <w:b/>
                <w:bCs/>
                <w:sz w:val="20"/>
                <w:lang w:eastAsia="en-NZ"/>
              </w:rPr>
              <w:t xml:space="preserve">Rates </w:t>
            </w:r>
            <w:r w:rsidRPr="00A14298">
              <w:rPr>
                <w:rFonts w:ascii="Calibri" w:hAnsi="Calibri" w:cs="Calibri"/>
                <w:b/>
                <w:bCs/>
                <w:sz w:val="20"/>
                <w:lang w:eastAsia="en-NZ"/>
              </w:rPr>
              <w:t>2025/26</w:t>
            </w:r>
          </w:p>
        </w:tc>
        <w:tc>
          <w:tcPr>
            <w:tcW w:w="276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37C43C23"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annum</w:t>
            </w:r>
          </w:p>
        </w:tc>
        <w:tc>
          <w:tcPr>
            <w:tcW w:w="25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E43DC02" w14:textId="77777777" w:rsidR="007E0043" w:rsidRPr="00A14298" w:rsidRDefault="007E0043" w:rsidP="0021047A">
            <w:pPr>
              <w:rPr>
                <w:rFonts w:ascii="Calibri" w:hAnsi="Calibri" w:cs="Calibri"/>
                <w:b/>
                <w:bCs/>
                <w:sz w:val="20"/>
                <w:lang w:eastAsia="en-NZ"/>
              </w:rPr>
            </w:pPr>
            <w:r>
              <w:rPr>
                <w:rFonts w:ascii="Calibri" w:hAnsi="Calibri" w:cs="Calibri"/>
                <w:b/>
                <w:bCs/>
                <w:sz w:val="20"/>
                <w:lang w:eastAsia="en-NZ"/>
              </w:rPr>
              <w:t xml:space="preserve">Average increase </w:t>
            </w:r>
            <w:r w:rsidRPr="00A14298">
              <w:rPr>
                <w:rFonts w:ascii="Calibri" w:hAnsi="Calibri" w:cs="Calibri"/>
                <w:b/>
                <w:bCs/>
                <w:sz w:val="20"/>
                <w:lang w:eastAsia="en-NZ"/>
              </w:rPr>
              <w:t>per week</w:t>
            </w:r>
          </w:p>
        </w:tc>
        <w:tc>
          <w:tcPr>
            <w:tcW w:w="124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0C5C3C01"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Increase %</w:t>
            </w:r>
          </w:p>
        </w:tc>
        <w:tc>
          <w:tcPr>
            <w:tcW w:w="222" w:type="dxa"/>
            <w:vAlign w:val="center"/>
            <w:hideMark/>
          </w:tcPr>
          <w:p w14:paraId="4976AED5" w14:textId="77777777" w:rsidR="007E0043" w:rsidRPr="00A14298" w:rsidRDefault="007E0043" w:rsidP="0021047A">
            <w:pPr>
              <w:rPr>
                <w:rFonts w:ascii="Times New Roman" w:hAnsi="Times New Roman"/>
                <w:sz w:val="20"/>
                <w:lang w:eastAsia="en-NZ"/>
              </w:rPr>
            </w:pPr>
          </w:p>
        </w:tc>
      </w:tr>
      <w:tr w:rsidR="007E0043" w:rsidRPr="00A14298" w14:paraId="59E13061" w14:textId="77777777" w:rsidTr="0021047A">
        <w:trPr>
          <w:trHeight w:val="315"/>
        </w:trPr>
        <w:tc>
          <w:tcPr>
            <w:tcW w:w="5540" w:type="dxa"/>
            <w:gridSpan w:val="2"/>
            <w:vMerge/>
            <w:vAlign w:val="center"/>
            <w:hideMark/>
          </w:tcPr>
          <w:p w14:paraId="3BD72090" w14:textId="77777777" w:rsidR="007E0043" w:rsidRPr="00A14298" w:rsidRDefault="007E0043" w:rsidP="0021047A">
            <w:pPr>
              <w:rPr>
                <w:rFonts w:ascii="Calibri" w:hAnsi="Calibri" w:cs="Calibri"/>
                <w:b/>
                <w:bCs/>
                <w:sz w:val="20"/>
                <w:lang w:eastAsia="en-NZ"/>
              </w:rPr>
            </w:pPr>
          </w:p>
        </w:tc>
        <w:tc>
          <w:tcPr>
            <w:tcW w:w="2080" w:type="dxa"/>
            <w:vMerge/>
            <w:vAlign w:val="center"/>
            <w:hideMark/>
          </w:tcPr>
          <w:p w14:paraId="47090922" w14:textId="77777777" w:rsidR="007E0043" w:rsidRPr="00A14298" w:rsidRDefault="007E0043" w:rsidP="0021047A">
            <w:pPr>
              <w:rPr>
                <w:rFonts w:ascii="Calibri" w:hAnsi="Calibri" w:cs="Calibri"/>
                <w:b/>
                <w:bCs/>
                <w:sz w:val="20"/>
                <w:lang w:eastAsia="en-NZ"/>
              </w:rPr>
            </w:pPr>
          </w:p>
        </w:tc>
        <w:tc>
          <w:tcPr>
            <w:tcW w:w="2760" w:type="dxa"/>
            <w:vMerge/>
            <w:vAlign w:val="center"/>
            <w:hideMark/>
          </w:tcPr>
          <w:p w14:paraId="40B02881" w14:textId="77777777" w:rsidR="007E0043" w:rsidRPr="00A14298" w:rsidRDefault="007E0043" w:rsidP="0021047A">
            <w:pPr>
              <w:rPr>
                <w:rFonts w:ascii="Calibri" w:hAnsi="Calibri" w:cs="Calibri"/>
                <w:b/>
                <w:bCs/>
                <w:sz w:val="20"/>
                <w:lang w:eastAsia="en-NZ"/>
              </w:rPr>
            </w:pPr>
          </w:p>
        </w:tc>
        <w:tc>
          <w:tcPr>
            <w:tcW w:w="2580" w:type="dxa"/>
            <w:vMerge/>
            <w:vAlign w:val="center"/>
            <w:hideMark/>
          </w:tcPr>
          <w:p w14:paraId="410EBDD2" w14:textId="77777777" w:rsidR="007E0043" w:rsidRPr="00A14298" w:rsidRDefault="007E0043" w:rsidP="0021047A">
            <w:pPr>
              <w:rPr>
                <w:rFonts w:ascii="Calibri" w:hAnsi="Calibri" w:cs="Calibri"/>
                <w:b/>
                <w:bCs/>
                <w:sz w:val="20"/>
                <w:lang w:eastAsia="en-NZ"/>
              </w:rPr>
            </w:pPr>
          </w:p>
        </w:tc>
        <w:tc>
          <w:tcPr>
            <w:tcW w:w="1240" w:type="dxa"/>
            <w:vMerge/>
            <w:vAlign w:val="center"/>
            <w:hideMark/>
          </w:tcPr>
          <w:p w14:paraId="6D94FCC6" w14:textId="77777777" w:rsidR="007E0043" w:rsidRPr="00A14298" w:rsidRDefault="007E0043" w:rsidP="0021047A">
            <w:pPr>
              <w:rPr>
                <w:rFonts w:ascii="Calibri" w:hAnsi="Calibri" w:cs="Calibri"/>
                <w:b/>
                <w:bCs/>
                <w:sz w:val="20"/>
                <w:lang w:eastAsia="en-NZ"/>
              </w:rPr>
            </w:pPr>
          </w:p>
        </w:tc>
        <w:tc>
          <w:tcPr>
            <w:tcW w:w="222" w:type="dxa"/>
            <w:tcBorders>
              <w:top w:val="nil"/>
              <w:left w:val="nil"/>
              <w:bottom w:val="nil"/>
              <w:right w:val="nil"/>
            </w:tcBorders>
            <w:shd w:val="clear" w:color="auto" w:fill="auto"/>
            <w:noWrap/>
            <w:vAlign w:val="bottom"/>
            <w:hideMark/>
          </w:tcPr>
          <w:p w14:paraId="07B22FD2" w14:textId="77777777" w:rsidR="007E0043" w:rsidRPr="00A14298" w:rsidRDefault="007E0043" w:rsidP="0021047A">
            <w:pPr>
              <w:rPr>
                <w:rFonts w:ascii="Calibri" w:hAnsi="Calibri" w:cs="Calibri"/>
                <w:b/>
                <w:bCs/>
                <w:sz w:val="20"/>
                <w:lang w:eastAsia="en-NZ"/>
              </w:rPr>
            </w:pPr>
          </w:p>
        </w:tc>
      </w:tr>
      <w:tr w:rsidR="007E0043" w:rsidRPr="00A14298" w14:paraId="08914105"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2F09CFB5"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Residential </w:t>
            </w:r>
          </w:p>
        </w:tc>
        <w:tc>
          <w:tcPr>
            <w:tcW w:w="2820" w:type="dxa"/>
            <w:tcBorders>
              <w:top w:val="nil"/>
              <w:left w:val="nil"/>
              <w:bottom w:val="single" w:sz="8" w:space="0" w:color="auto"/>
              <w:right w:val="single" w:sz="8" w:space="0" w:color="auto"/>
            </w:tcBorders>
            <w:shd w:val="clear" w:color="auto" w:fill="auto"/>
            <w:vAlign w:val="center"/>
            <w:hideMark/>
          </w:tcPr>
          <w:p w14:paraId="26721DC2"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Hutt City</w:t>
            </w:r>
          </w:p>
        </w:tc>
        <w:tc>
          <w:tcPr>
            <w:tcW w:w="2080" w:type="dxa"/>
            <w:tcBorders>
              <w:top w:val="nil"/>
              <w:left w:val="nil"/>
              <w:bottom w:val="single" w:sz="8" w:space="0" w:color="auto"/>
              <w:right w:val="single" w:sz="8" w:space="0" w:color="auto"/>
            </w:tcBorders>
            <w:shd w:val="clear" w:color="auto" w:fill="auto"/>
            <w:vAlign w:val="center"/>
            <w:hideMark/>
          </w:tcPr>
          <w:p w14:paraId="02EC6E80"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$1,190.30</w:t>
            </w:r>
          </w:p>
        </w:tc>
        <w:tc>
          <w:tcPr>
            <w:tcW w:w="2760" w:type="dxa"/>
            <w:tcBorders>
              <w:top w:val="nil"/>
              <w:left w:val="nil"/>
              <w:bottom w:val="single" w:sz="8" w:space="0" w:color="auto"/>
              <w:right w:val="single" w:sz="8" w:space="0" w:color="auto"/>
            </w:tcBorders>
            <w:shd w:val="clear" w:color="auto" w:fill="auto"/>
            <w:vAlign w:val="center"/>
            <w:hideMark/>
          </w:tcPr>
          <w:p w14:paraId="4357E1DE"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$96.36</w:t>
            </w:r>
          </w:p>
        </w:tc>
        <w:tc>
          <w:tcPr>
            <w:tcW w:w="2580" w:type="dxa"/>
            <w:tcBorders>
              <w:top w:val="nil"/>
              <w:left w:val="nil"/>
              <w:bottom w:val="single" w:sz="8" w:space="0" w:color="auto"/>
              <w:right w:val="single" w:sz="8" w:space="0" w:color="auto"/>
            </w:tcBorders>
            <w:shd w:val="clear" w:color="auto" w:fill="auto"/>
            <w:vAlign w:val="center"/>
            <w:hideMark/>
          </w:tcPr>
          <w:p w14:paraId="1D80D26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$1.85</w:t>
            </w:r>
          </w:p>
        </w:tc>
        <w:tc>
          <w:tcPr>
            <w:tcW w:w="1240" w:type="dxa"/>
            <w:tcBorders>
              <w:top w:val="nil"/>
              <w:left w:val="nil"/>
              <w:bottom w:val="single" w:sz="8" w:space="0" w:color="auto"/>
              <w:right w:val="single" w:sz="8" w:space="0" w:color="auto"/>
            </w:tcBorders>
            <w:shd w:val="clear" w:color="auto" w:fill="auto"/>
            <w:vAlign w:val="center"/>
            <w:hideMark/>
          </w:tcPr>
          <w:p w14:paraId="721562BB"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8.8%</w:t>
            </w:r>
          </w:p>
        </w:tc>
        <w:tc>
          <w:tcPr>
            <w:tcW w:w="222" w:type="dxa"/>
            <w:vAlign w:val="center"/>
            <w:hideMark/>
          </w:tcPr>
          <w:p w14:paraId="3979968C" w14:textId="77777777" w:rsidR="007E0043" w:rsidRPr="00A14298" w:rsidRDefault="007E0043" w:rsidP="0021047A">
            <w:pPr>
              <w:rPr>
                <w:rFonts w:ascii="Times New Roman" w:hAnsi="Times New Roman"/>
                <w:sz w:val="20"/>
                <w:lang w:eastAsia="en-NZ"/>
              </w:rPr>
            </w:pPr>
          </w:p>
        </w:tc>
      </w:tr>
      <w:tr w:rsidR="007E0043" w:rsidRPr="00A14298" w14:paraId="435DAA5D"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47780D38"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(incl. GST)</w:t>
            </w:r>
          </w:p>
        </w:tc>
        <w:tc>
          <w:tcPr>
            <w:tcW w:w="2820" w:type="dxa"/>
            <w:tcBorders>
              <w:top w:val="nil"/>
              <w:left w:val="nil"/>
              <w:bottom w:val="single" w:sz="8" w:space="0" w:color="auto"/>
              <w:right w:val="single" w:sz="8" w:space="0" w:color="auto"/>
            </w:tcBorders>
            <w:shd w:val="clear" w:color="auto" w:fill="auto"/>
            <w:vAlign w:val="center"/>
            <w:hideMark/>
          </w:tcPr>
          <w:p w14:paraId="63A00438"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Upper Hutt City</w:t>
            </w:r>
          </w:p>
        </w:tc>
        <w:tc>
          <w:tcPr>
            <w:tcW w:w="2080" w:type="dxa"/>
            <w:tcBorders>
              <w:top w:val="nil"/>
              <w:left w:val="nil"/>
              <w:bottom w:val="single" w:sz="8" w:space="0" w:color="auto"/>
              <w:right w:val="single" w:sz="8" w:space="0" w:color="auto"/>
            </w:tcBorders>
            <w:shd w:val="clear" w:color="auto" w:fill="auto"/>
            <w:vAlign w:val="center"/>
            <w:hideMark/>
          </w:tcPr>
          <w:p w14:paraId="0CCEC13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$993.65</w:t>
            </w:r>
          </w:p>
        </w:tc>
        <w:tc>
          <w:tcPr>
            <w:tcW w:w="2760" w:type="dxa"/>
            <w:tcBorders>
              <w:top w:val="nil"/>
              <w:left w:val="nil"/>
              <w:bottom w:val="single" w:sz="8" w:space="0" w:color="auto"/>
              <w:right w:val="single" w:sz="8" w:space="0" w:color="auto"/>
            </w:tcBorders>
            <w:shd w:val="clear" w:color="auto" w:fill="auto"/>
            <w:vAlign w:val="center"/>
            <w:hideMark/>
          </w:tcPr>
          <w:p w14:paraId="72D84CC0"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$89.78</w:t>
            </w:r>
          </w:p>
        </w:tc>
        <w:tc>
          <w:tcPr>
            <w:tcW w:w="2580" w:type="dxa"/>
            <w:tcBorders>
              <w:top w:val="nil"/>
              <w:left w:val="nil"/>
              <w:bottom w:val="single" w:sz="8" w:space="0" w:color="auto"/>
              <w:right w:val="single" w:sz="8" w:space="0" w:color="auto"/>
            </w:tcBorders>
            <w:shd w:val="clear" w:color="auto" w:fill="auto"/>
            <w:vAlign w:val="center"/>
            <w:hideMark/>
          </w:tcPr>
          <w:p w14:paraId="6F054ACC"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$1.73</w:t>
            </w:r>
          </w:p>
        </w:tc>
        <w:tc>
          <w:tcPr>
            <w:tcW w:w="1240" w:type="dxa"/>
            <w:tcBorders>
              <w:top w:val="nil"/>
              <w:left w:val="nil"/>
              <w:bottom w:val="single" w:sz="8" w:space="0" w:color="auto"/>
              <w:right w:val="single" w:sz="8" w:space="0" w:color="auto"/>
            </w:tcBorders>
            <w:shd w:val="clear" w:color="auto" w:fill="auto"/>
            <w:vAlign w:val="center"/>
            <w:hideMark/>
          </w:tcPr>
          <w:p w14:paraId="3913676D"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9.9%</w:t>
            </w:r>
          </w:p>
        </w:tc>
        <w:tc>
          <w:tcPr>
            <w:tcW w:w="222" w:type="dxa"/>
            <w:vAlign w:val="center"/>
            <w:hideMark/>
          </w:tcPr>
          <w:p w14:paraId="3873890E" w14:textId="77777777" w:rsidR="007E0043" w:rsidRPr="00A14298" w:rsidRDefault="007E0043" w:rsidP="0021047A">
            <w:pPr>
              <w:rPr>
                <w:rFonts w:ascii="Times New Roman" w:hAnsi="Times New Roman"/>
                <w:sz w:val="20"/>
                <w:lang w:eastAsia="en-NZ"/>
              </w:rPr>
            </w:pPr>
          </w:p>
        </w:tc>
      </w:tr>
      <w:tr w:rsidR="007E0043" w:rsidRPr="00A14298" w14:paraId="49E1EF11"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7B5D882D"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Business </w:t>
            </w:r>
          </w:p>
        </w:tc>
        <w:tc>
          <w:tcPr>
            <w:tcW w:w="2820" w:type="dxa"/>
            <w:tcBorders>
              <w:top w:val="nil"/>
              <w:left w:val="nil"/>
              <w:bottom w:val="single" w:sz="8" w:space="0" w:color="auto"/>
              <w:right w:val="single" w:sz="8" w:space="0" w:color="auto"/>
            </w:tcBorders>
            <w:shd w:val="clear" w:color="auto" w:fill="auto"/>
            <w:vAlign w:val="center"/>
            <w:hideMark/>
          </w:tcPr>
          <w:p w14:paraId="4E3E10BF"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Hutt City</w:t>
            </w:r>
          </w:p>
        </w:tc>
        <w:tc>
          <w:tcPr>
            <w:tcW w:w="2080" w:type="dxa"/>
            <w:tcBorders>
              <w:top w:val="nil"/>
              <w:left w:val="nil"/>
              <w:bottom w:val="single" w:sz="8" w:space="0" w:color="auto"/>
              <w:right w:val="single" w:sz="8" w:space="0" w:color="auto"/>
            </w:tcBorders>
            <w:shd w:val="clear" w:color="auto" w:fill="auto"/>
            <w:vAlign w:val="center"/>
            <w:hideMark/>
          </w:tcPr>
          <w:p w14:paraId="3E154687"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$4,047.57</w:t>
            </w:r>
          </w:p>
        </w:tc>
        <w:tc>
          <w:tcPr>
            <w:tcW w:w="2760" w:type="dxa"/>
            <w:tcBorders>
              <w:top w:val="nil"/>
              <w:left w:val="nil"/>
              <w:bottom w:val="single" w:sz="8" w:space="0" w:color="auto"/>
              <w:right w:val="single" w:sz="8" w:space="0" w:color="auto"/>
            </w:tcBorders>
            <w:shd w:val="clear" w:color="auto" w:fill="auto"/>
            <w:vAlign w:val="center"/>
            <w:hideMark/>
          </w:tcPr>
          <w:p w14:paraId="513F8C66"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$322.48</w:t>
            </w:r>
          </w:p>
        </w:tc>
        <w:tc>
          <w:tcPr>
            <w:tcW w:w="2580" w:type="dxa"/>
            <w:tcBorders>
              <w:top w:val="nil"/>
              <w:left w:val="nil"/>
              <w:bottom w:val="single" w:sz="8" w:space="0" w:color="auto"/>
              <w:right w:val="single" w:sz="8" w:space="0" w:color="auto"/>
            </w:tcBorders>
            <w:shd w:val="clear" w:color="auto" w:fill="auto"/>
            <w:vAlign w:val="center"/>
            <w:hideMark/>
          </w:tcPr>
          <w:p w14:paraId="0DF9F95A"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$6.20</w:t>
            </w:r>
          </w:p>
        </w:tc>
        <w:tc>
          <w:tcPr>
            <w:tcW w:w="1240" w:type="dxa"/>
            <w:tcBorders>
              <w:top w:val="nil"/>
              <w:left w:val="nil"/>
              <w:bottom w:val="single" w:sz="8" w:space="0" w:color="auto"/>
              <w:right w:val="single" w:sz="8" w:space="0" w:color="auto"/>
            </w:tcBorders>
            <w:shd w:val="clear" w:color="auto" w:fill="auto"/>
            <w:vAlign w:val="center"/>
            <w:hideMark/>
          </w:tcPr>
          <w:p w14:paraId="49DFB26F"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8.7%</w:t>
            </w:r>
          </w:p>
        </w:tc>
        <w:tc>
          <w:tcPr>
            <w:tcW w:w="222" w:type="dxa"/>
            <w:vAlign w:val="center"/>
            <w:hideMark/>
          </w:tcPr>
          <w:p w14:paraId="25CD23C4" w14:textId="77777777" w:rsidR="007E0043" w:rsidRPr="00A14298" w:rsidRDefault="007E0043" w:rsidP="0021047A">
            <w:pPr>
              <w:rPr>
                <w:rFonts w:ascii="Times New Roman" w:hAnsi="Times New Roman"/>
                <w:sz w:val="20"/>
                <w:lang w:eastAsia="en-NZ"/>
              </w:rPr>
            </w:pPr>
          </w:p>
        </w:tc>
      </w:tr>
      <w:tr w:rsidR="007E0043" w:rsidRPr="00A14298" w14:paraId="1A65B81F"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7B9D4959"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(excl. GST)</w:t>
            </w:r>
          </w:p>
        </w:tc>
        <w:tc>
          <w:tcPr>
            <w:tcW w:w="2820" w:type="dxa"/>
            <w:tcBorders>
              <w:top w:val="nil"/>
              <w:left w:val="nil"/>
              <w:bottom w:val="single" w:sz="8" w:space="0" w:color="auto"/>
              <w:right w:val="single" w:sz="8" w:space="0" w:color="auto"/>
            </w:tcBorders>
            <w:shd w:val="clear" w:color="auto" w:fill="auto"/>
            <w:vAlign w:val="center"/>
            <w:hideMark/>
          </w:tcPr>
          <w:p w14:paraId="5C13C3EE"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Upper Hutt City</w:t>
            </w:r>
          </w:p>
        </w:tc>
        <w:tc>
          <w:tcPr>
            <w:tcW w:w="2080" w:type="dxa"/>
            <w:tcBorders>
              <w:top w:val="nil"/>
              <w:left w:val="nil"/>
              <w:bottom w:val="single" w:sz="8" w:space="0" w:color="auto"/>
              <w:right w:val="single" w:sz="8" w:space="0" w:color="auto"/>
            </w:tcBorders>
            <w:shd w:val="clear" w:color="auto" w:fill="auto"/>
            <w:vAlign w:val="center"/>
            <w:hideMark/>
          </w:tcPr>
          <w:p w14:paraId="7D50712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$3,294.31</w:t>
            </w:r>
          </w:p>
        </w:tc>
        <w:tc>
          <w:tcPr>
            <w:tcW w:w="2760" w:type="dxa"/>
            <w:tcBorders>
              <w:top w:val="nil"/>
              <w:left w:val="nil"/>
              <w:bottom w:val="single" w:sz="8" w:space="0" w:color="auto"/>
              <w:right w:val="single" w:sz="8" w:space="0" w:color="auto"/>
            </w:tcBorders>
            <w:shd w:val="clear" w:color="auto" w:fill="auto"/>
            <w:vAlign w:val="center"/>
            <w:hideMark/>
          </w:tcPr>
          <w:p w14:paraId="1212C4E2"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$266.52</w:t>
            </w:r>
          </w:p>
        </w:tc>
        <w:tc>
          <w:tcPr>
            <w:tcW w:w="2580" w:type="dxa"/>
            <w:tcBorders>
              <w:top w:val="nil"/>
              <w:left w:val="nil"/>
              <w:bottom w:val="single" w:sz="8" w:space="0" w:color="auto"/>
              <w:right w:val="single" w:sz="8" w:space="0" w:color="auto"/>
            </w:tcBorders>
            <w:shd w:val="clear" w:color="auto" w:fill="auto"/>
            <w:vAlign w:val="center"/>
            <w:hideMark/>
          </w:tcPr>
          <w:p w14:paraId="7517DD8D"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$5.13</w:t>
            </w:r>
          </w:p>
        </w:tc>
        <w:tc>
          <w:tcPr>
            <w:tcW w:w="1240" w:type="dxa"/>
            <w:tcBorders>
              <w:top w:val="nil"/>
              <w:left w:val="nil"/>
              <w:bottom w:val="single" w:sz="8" w:space="0" w:color="auto"/>
              <w:right w:val="single" w:sz="8" w:space="0" w:color="auto"/>
            </w:tcBorders>
            <w:shd w:val="clear" w:color="auto" w:fill="auto"/>
            <w:vAlign w:val="center"/>
            <w:hideMark/>
          </w:tcPr>
          <w:p w14:paraId="2F9B670E"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8.8%</w:t>
            </w:r>
          </w:p>
        </w:tc>
        <w:tc>
          <w:tcPr>
            <w:tcW w:w="222" w:type="dxa"/>
            <w:vAlign w:val="center"/>
            <w:hideMark/>
          </w:tcPr>
          <w:p w14:paraId="77CD4F3C" w14:textId="77777777" w:rsidR="007E0043" w:rsidRPr="00A14298" w:rsidRDefault="007E0043" w:rsidP="0021047A">
            <w:pPr>
              <w:rPr>
                <w:rFonts w:ascii="Times New Roman" w:hAnsi="Times New Roman"/>
                <w:sz w:val="20"/>
                <w:lang w:eastAsia="en-NZ"/>
              </w:rPr>
            </w:pPr>
          </w:p>
        </w:tc>
      </w:tr>
      <w:tr w:rsidR="007E0043" w:rsidRPr="00A14298" w14:paraId="7EEFB610" w14:textId="77777777" w:rsidTr="0021047A">
        <w:trPr>
          <w:trHeight w:val="315"/>
        </w:trPr>
        <w:tc>
          <w:tcPr>
            <w:tcW w:w="2720" w:type="dxa"/>
            <w:tcBorders>
              <w:top w:val="nil"/>
              <w:left w:val="single" w:sz="8" w:space="0" w:color="auto"/>
              <w:bottom w:val="nil"/>
              <w:right w:val="single" w:sz="8" w:space="0" w:color="auto"/>
            </w:tcBorders>
            <w:shd w:val="clear" w:color="auto" w:fill="auto"/>
            <w:vAlign w:val="center"/>
            <w:hideMark/>
          </w:tcPr>
          <w:p w14:paraId="4B553289"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 xml:space="preserve">Rural </w:t>
            </w:r>
          </w:p>
        </w:tc>
        <w:tc>
          <w:tcPr>
            <w:tcW w:w="2820" w:type="dxa"/>
            <w:tcBorders>
              <w:top w:val="nil"/>
              <w:left w:val="nil"/>
              <w:bottom w:val="single" w:sz="8" w:space="0" w:color="auto"/>
              <w:right w:val="single" w:sz="8" w:space="0" w:color="auto"/>
            </w:tcBorders>
            <w:shd w:val="clear" w:color="auto" w:fill="auto"/>
            <w:vAlign w:val="center"/>
            <w:hideMark/>
          </w:tcPr>
          <w:p w14:paraId="1E80913B"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Hutt City</w:t>
            </w:r>
          </w:p>
        </w:tc>
        <w:tc>
          <w:tcPr>
            <w:tcW w:w="2080" w:type="dxa"/>
            <w:tcBorders>
              <w:top w:val="nil"/>
              <w:left w:val="nil"/>
              <w:bottom w:val="single" w:sz="8" w:space="0" w:color="auto"/>
              <w:right w:val="single" w:sz="8" w:space="0" w:color="auto"/>
            </w:tcBorders>
            <w:shd w:val="clear" w:color="auto" w:fill="auto"/>
            <w:vAlign w:val="center"/>
            <w:hideMark/>
          </w:tcPr>
          <w:p w14:paraId="455047A5"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$1,052.30</w:t>
            </w:r>
          </w:p>
        </w:tc>
        <w:tc>
          <w:tcPr>
            <w:tcW w:w="2760" w:type="dxa"/>
            <w:tcBorders>
              <w:top w:val="nil"/>
              <w:left w:val="nil"/>
              <w:bottom w:val="single" w:sz="8" w:space="0" w:color="auto"/>
              <w:right w:val="single" w:sz="8" w:space="0" w:color="auto"/>
            </w:tcBorders>
            <w:shd w:val="clear" w:color="auto" w:fill="auto"/>
            <w:vAlign w:val="center"/>
            <w:hideMark/>
          </w:tcPr>
          <w:p w14:paraId="33D95C29"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$82.27</w:t>
            </w:r>
          </w:p>
        </w:tc>
        <w:tc>
          <w:tcPr>
            <w:tcW w:w="2580" w:type="dxa"/>
            <w:tcBorders>
              <w:top w:val="nil"/>
              <w:left w:val="nil"/>
              <w:bottom w:val="single" w:sz="8" w:space="0" w:color="auto"/>
              <w:right w:val="single" w:sz="8" w:space="0" w:color="auto"/>
            </w:tcBorders>
            <w:shd w:val="clear" w:color="auto" w:fill="auto"/>
            <w:vAlign w:val="center"/>
            <w:hideMark/>
          </w:tcPr>
          <w:p w14:paraId="34B154DB"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$1.58</w:t>
            </w:r>
          </w:p>
        </w:tc>
        <w:tc>
          <w:tcPr>
            <w:tcW w:w="1240" w:type="dxa"/>
            <w:tcBorders>
              <w:top w:val="nil"/>
              <w:left w:val="nil"/>
              <w:bottom w:val="single" w:sz="8" w:space="0" w:color="auto"/>
              <w:right w:val="single" w:sz="8" w:space="0" w:color="auto"/>
            </w:tcBorders>
            <w:shd w:val="clear" w:color="auto" w:fill="auto"/>
            <w:vAlign w:val="center"/>
            <w:hideMark/>
          </w:tcPr>
          <w:p w14:paraId="121125BC"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8.5%</w:t>
            </w:r>
          </w:p>
        </w:tc>
        <w:tc>
          <w:tcPr>
            <w:tcW w:w="222" w:type="dxa"/>
            <w:vAlign w:val="center"/>
            <w:hideMark/>
          </w:tcPr>
          <w:p w14:paraId="36E15E69" w14:textId="77777777" w:rsidR="007E0043" w:rsidRPr="00A14298" w:rsidRDefault="007E0043" w:rsidP="0021047A">
            <w:pPr>
              <w:rPr>
                <w:rFonts w:ascii="Times New Roman" w:hAnsi="Times New Roman"/>
                <w:sz w:val="20"/>
                <w:lang w:eastAsia="en-NZ"/>
              </w:rPr>
            </w:pPr>
          </w:p>
        </w:tc>
      </w:tr>
      <w:tr w:rsidR="007E0043" w:rsidRPr="00A14298" w14:paraId="5E727408" w14:textId="77777777" w:rsidTr="0021047A">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4D286E6F" w14:textId="77777777" w:rsidR="007E0043" w:rsidRPr="00A14298" w:rsidRDefault="007E0043" w:rsidP="0021047A">
            <w:pPr>
              <w:rPr>
                <w:rFonts w:ascii="Calibri" w:hAnsi="Calibri" w:cs="Calibri"/>
                <w:b/>
                <w:bCs/>
                <w:sz w:val="20"/>
                <w:lang w:eastAsia="en-NZ"/>
              </w:rPr>
            </w:pPr>
            <w:r w:rsidRPr="00A14298">
              <w:rPr>
                <w:rFonts w:ascii="Calibri" w:hAnsi="Calibri" w:cs="Calibri"/>
                <w:b/>
                <w:bCs/>
                <w:sz w:val="20"/>
                <w:lang w:eastAsia="en-NZ"/>
              </w:rPr>
              <w:t>(excl. GST)</w:t>
            </w:r>
          </w:p>
        </w:tc>
        <w:tc>
          <w:tcPr>
            <w:tcW w:w="2820" w:type="dxa"/>
            <w:tcBorders>
              <w:top w:val="nil"/>
              <w:left w:val="nil"/>
              <w:bottom w:val="single" w:sz="8" w:space="0" w:color="auto"/>
              <w:right w:val="single" w:sz="8" w:space="0" w:color="auto"/>
            </w:tcBorders>
            <w:shd w:val="clear" w:color="auto" w:fill="auto"/>
            <w:vAlign w:val="center"/>
            <w:hideMark/>
          </w:tcPr>
          <w:p w14:paraId="23218473" w14:textId="77777777" w:rsidR="007E0043" w:rsidRPr="00A14298" w:rsidRDefault="007E0043" w:rsidP="0021047A">
            <w:pPr>
              <w:rPr>
                <w:rFonts w:ascii="Calibri" w:hAnsi="Calibri" w:cs="Calibri"/>
                <w:sz w:val="20"/>
                <w:lang w:eastAsia="en-NZ"/>
              </w:rPr>
            </w:pPr>
            <w:r w:rsidRPr="00A14298">
              <w:rPr>
                <w:rFonts w:ascii="Calibri" w:hAnsi="Calibri" w:cs="Calibri"/>
                <w:sz w:val="20"/>
                <w:lang w:eastAsia="en-NZ"/>
              </w:rPr>
              <w:t>Upper Hutt City</w:t>
            </w:r>
          </w:p>
        </w:tc>
        <w:tc>
          <w:tcPr>
            <w:tcW w:w="2080" w:type="dxa"/>
            <w:tcBorders>
              <w:top w:val="nil"/>
              <w:left w:val="nil"/>
              <w:bottom w:val="single" w:sz="8" w:space="0" w:color="auto"/>
              <w:right w:val="single" w:sz="8" w:space="0" w:color="auto"/>
            </w:tcBorders>
            <w:shd w:val="clear" w:color="auto" w:fill="auto"/>
            <w:vAlign w:val="center"/>
            <w:hideMark/>
          </w:tcPr>
          <w:p w14:paraId="57E2E75F"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$911.96</w:t>
            </w:r>
          </w:p>
        </w:tc>
        <w:tc>
          <w:tcPr>
            <w:tcW w:w="2760" w:type="dxa"/>
            <w:tcBorders>
              <w:top w:val="nil"/>
              <w:left w:val="nil"/>
              <w:bottom w:val="single" w:sz="8" w:space="0" w:color="auto"/>
              <w:right w:val="single" w:sz="8" w:space="0" w:color="auto"/>
            </w:tcBorders>
            <w:shd w:val="clear" w:color="auto" w:fill="auto"/>
            <w:vAlign w:val="center"/>
            <w:hideMark/>
          </w:tcPr>
          <w:p w14:paraId="36D31F2C"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$73.97</w:t>
            </w:r>
          </w:p>
        </w:tc>
        <w:tc>
          <w:tcPr>
            <w:tcW w:w="2580" w:type="dxa"/>
            <w:tcBorders>
              <w:top w:val="nil"/>
              <w:left w:val="nil"/>
              <w:bottom w:val="single" w:sz="8" w:space="0" w:color="auto"/>
              <w:right w:val="single" w:sz="8" w:space="0" w:color="auto"/>
            </w:tcBorders>
            <w:shd w:val="clear" w:color="auto" w:fill="auto"/>
            <w:vAlign w:val="center"/>
            <w:hideMark/>
          </w:tcPr>
          <w:p w14:paraId="5C5FB7E5" w14:textId="77777777" w:rsidR="007E0043" w:rsidRPr="00A14298" w:rsidRDefault="007E0043" w:rsidP="0021047A">
            <w:pPr>
              <w:jc w:val="right"/>
              <w:rPr>
                <w:rFonts w:ascii="Calibri" w:hAnsi="Calibri" w:cs="Calibri"/>
                <w:sz w:val="22"/>
                <w:szCs w:val="22"/>
                <w:lang w:eastAsia="en-NZ"/>
              </w:rPr>
            </w:pPr>
            <w:r w:rsidRPr="00A14298">
              <w:rPr>
                <w:rFonts w:ascii="Calibri" w:hAnsi="Calibri" w:cs="Calibri"/>
                <w:sz w:val="22"/>
                <w:szCs w:val="22"/>
                <w:lang w:eastAsia="en-NZ"/>
              </w:rPr>
              <w:t>$1.42</w:t>
            </w:r>
          </w:p>
        </w:tc>
        <w:tc>
          <w:tcPr>
            <w:tcW w:w="1240" w:type="dxa"/>
            <w:tcBorders>
              <w:top w:val="nil"/>
              <w:left w:val="nil"/>
              <w:bottom w:val="single" w:sz="8" w:space="0" w:color="auto"/>
              <w:right w:val="single" w:sz="8" w:space="0" w:color="auto"/>
            </w:tcBorders>
            <w:shd w:val="clear" w:color="auto" w:fill="auto"/>
            <w:vAlign w:val="center"/>
            <w:hideMark/>
          </w:tcPr>
          <w:p w14:paraId="5F1EAF05" w14:textId="77777777" w:rsidR="007E0043" w:rsidRPr="00A14298" w:rsidRDefault="007E0043" w:rsidP="0021047A">
            <w:pPr>
              <w:jc w:val="right"/>
              <w:rPr>
                <w:rFonts w:ascii="Aptos Narrow" w:hAnsi="Aptos Narrow"/>
                <w:color w:val="000000"/>
                <w:sz w:val="22"/>
                <w:szCs w:val="22"/>
                <w:lang w:eastAsia="en-NZ"/>
              </w:rPr>
            </w:pPr>
            <w:r w:rsidRPr="00A14298">
              <w:rPr>
                <w:rFonts w:ascii="Aptos Narrow" w:hAnsi="Aptos Narrow"/>
                <w:color w:val="000000"/>
                <w:sz w:val="22"/>
                <w:szCs w:val="22"/>
                <w:lang w:eastAsia="en-NZ"/>
              </w:rPr>
              <w:t>8.8%</w:t>
            </w:r>
          </w:p>
        </w:tc>
        <w:tc>
          <w:tcPr>
            <w:tcW w:w="222" w:type="dxa"/>
            <w:vAlign w:val="center"/>
            <w:hideMark/>
          </w:tcPr>
          <w:p w14:paraId="372D430F" w14:textId="77777777" w:rsidR="007E0043" w:rsidRPr="00A14298" w:rsidRDefault="007E0043" w:rsidP="0021047A">
            <w:pPr>
              <w:rPr>
                <w:rFonts w:ascii="Times New Roman" w:hAnsi="Times New Roman"/>
                <w:sz w:val="20"/>
                <w:lang w:eastAsia="en-NZ"/>
              </w:rPr>
            </w:pPr>
          </w:p>
        </w:tc>
      </w:tr>
    </w:tbl>
    <w:p w14:paraId="67DA5216" w14:textId="77777777" w:rsidR="007E0043" w:rsidRDefault="007E0043" w:rsidP="007E0043"/>
    <w:p w14:paraId="3D8C0782" w14:textId="77777777" w:rsidR="007E0043" w:rsidRPr="00D768F0" w:rsidRDefault="007E0043" w:rsidP="007E0043">
      <w:pPr>
        <w:pStyle w:val="GWFiller"/>
        <w:rPr>
          <w:szCs w:val="24"/>
          <w:lang w:val="en-NZ"/>
        </w:rPr>
      </w:pPr>
      <w:r w:rsidRPr="00D768F0">
        <w:rPr>
          <w:szCs w:val="24"/>
          <w:lang w:val="en-NZ"/>
        </w:rPr>
        <w:t> </w:t>
      </w:r>
    </w:p>
    <w:p w14:paraId="4008E72F" w14:textId="77777777" w:rsidR="007E0043" w:rsidRPr="00D768F0" w:rsidRDefault="007E0043" w:rsidP="007E0043">
      <w:pPr>
        <w:pStyle w:val="GWFiller"/>
        <w:rPr>
          <w:szCs w:val="24"/>
          <w:lang w:val="en-NZ"/>
        </w:rPr>
      </w:pPr>
      <w:r w:rsidRPr="00D768F0">
        <w:rPr>
          <w:b/>
          <w:bCs/>
          <w:szCs w:val="24"/>
          <w:u w:val="single"/>
          <w:lang w:val="en-US"/>
        </w:rPr>
        <w:t>For the factsheets</w:t>
      </w:r>
      <w:r w:rsidRPr="00D768F0">
        <w:rPr>
          <w:szCs w:val="24"/>
          <w:lang w:val="en-NZ"/>
        </w:rPr>
        <w:t> </w:t>
      </w:r>
    </w:p>
    <w:p w14:paraId="3099D190" w14:textId="77777777" w:rsidR="007E0043" w:rsidRPr="00D768F0" w:rsidRDefault="007E0043" w:rsidP="007E0043">
      <w:pPr>
        <w:pStyle w:val="GWFiller"/>
        <w:rPr>
          <w:szCs w:val="24"/>
          <w:lang w:val="en-NZ"/>
        </w:rPr>
      </w:pPr>
      <w:r w:rsidRPr="00D768F0">
        <w:rPr>
          <w:szCs w:val="24"/>
          <w:lang w:val="en-NZ"/>
        </w:rPr>
        <w:t> </w:t>
      </w:r>
    </w:p>
    <w:bookmarkEnd w:id="0"/>
    <w:p w14:paraId="70C716D2" w14:textId="77777777" w:rsidR="007E0043" w:rsidRDefault="007E0043" w:rsidP="007E0043"/>
    <w:sectPr w:rsidR="007E0043" w:rsidSect="007E0043">
      <w:footerReference w:type="first" r:id="rId30"/>
      <w:pgSz w:w="16838" w:h="11906" w:orient="landscape" w:code="9"/>
      <w:pgMar w:top="1440" w:right="1080" w:bottom="1440" w:left="1080" w:header="964"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6952A" w14:textId="77777777" w:rsidR="001340E6" w:rsidRDefault="001340E6">
      <w:r>
        <w:separator/>
      </w:r>
    </w:p>
  </w:endnote>
  <w:endnote w:type="continuationSeparator" w:id="0">
    <w:p w14:paraId="1850F66C" w14:textId="77777777" w:rsidR="001340E6" w:rsidRDefault="0013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E2AA" w14:textId="77777777" w:rsidR="00DF4E1A" w:rsidRPr="00444EFE" w:rsidRDefault="00C320F7" w:rsidP="007B38C7">
    <w:pPr>
      <w:pStyle w:val="GWFooter"/>
    </w:pPr>
    <w:bookmarkStart w:id="3" w:name="CopyToPrimaryFooterStoryOfOIALetter"/>
    <w:r>
      <w:tab/>
    </w:r>
    <w:r>
      <w:tab/>
      <w:t>P</w:t>
    </w:r>
    <w:r w:rsidRPr="00444EFE">
      <w:t xml:space="preserve">age </w:t>
    </w:r>
    <w:r w:rsidR="00DF4E1A" w:rsidRPr="00444EFE">
      <w:fldChar w:fldCharType="begin"/>
    </w:r>
    <w:r w:rsidR="00DF4E1A" w:rsidRPr="00444EFE">
      <w:instrText xml:space="preserve"> PAGE </w:instrText>
    </w:r>
    <w:r w:rsidR="00DF4E1A" w:rsidRPr="00444EFE">
      <w:fldChar w:fldCharType="separate"/>
    </w:r>
    <w:r w:rsidR="00D02695">
      <w:rPr>
        <w:noProof/>
      </w:rPr>
      <w:t>1</w:t>
    </w:r>
    <w:r w:rsidR="00DF4E1A" w:rsidRPr="00444EFE">
      <w:fldChar w:fldCharType="end"/>
    </w:r>
    <w:r w:rsidRPr="00444EFE">
      <w:t xml:space="preserve"> of </w:t>
    </w:r>
    <w:r w:rsidR="00787A68">
      <w:fldChar w:fldCharType="begin"/>
    </w:r>
    <w:r w:rsidR="00787A68">
      <w:instrText xml:space="preserve"> NUMPAGES </w:instrText>
    </w:r>
    <w:r w:rsidR="00787A68">
      <w:fldChar w:fldCharType="separate"/>
    </w:r>
    <w:r w:rsidR="00D02695">
      <w:rPr>
        <w:noProof/>
      </w:rPr>
      <w:t>1</w:t>
    </w:r>
    <w:r w:rsidR="00787A68">
      <w:rPr>
        <w:noProof/>
      </w:rPr>
      <w:fldChar w:fldCharType="end"/>
    </w:r>
    <w:bookmarkEnd w:id="3"/>
  </w:p>
  <w:p w14:paraId="1C6BAC6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B22B" w14:textId="77777777" w:rsidR="00673472" w:rsidRPr="00673472" w:rsidRDefault="0075014A" w:rsidP="00144157">
    <w:pPr>
      <w:pStyle w:val="GWFooter"/>
      <w:rPr>
        <w:vanish/>
      </w:rPr>
    </w:pPr>
    <w:bookmarkStart w:id="4" w:name="DocName1"/>
    <w:r>
      <w:rPr>
        <w:vanish/>
      </w:rPr>
      <w:t>Letter</w:t>
    </w:r>
    <w:bookmarkEnd w:id="4"/>
  </w:p>
  <w:p w14:paraId="3D4E033F" w14:textId="77777777" w:rsidR="00673472" w:rsidRDefault="00673472" w:rsidP="00144157">
    <w:pPr>
      <w:pStyle w:val="GWFooter"/>
    </w:pPr>
  </w:p>
  <w:p w14:paraId="74DF69BD" w14:textId="77777777" w:rsidR="00673472" w:rsidRDefault="00673472" w:rsidP="00144157">
    <w:pPr>
      <w:pStyle w:val="GWFooter"/>
    </w:pPr>
  </w:p>
  <w:p w14:paraId="39E88068" w14:textId="77777777" w:rsidR="00DF4E1A" w:rsidRPr="00444EFE" w:rsidRDefault="006D093C" w:rsidP="00144157">
    <w:pPr>
      <w:pStyle w:val="GWFooter"/>
    </w:pPr>
    <w:r>
      <w:rPr>
        <w:noProof/>
        <w:lang w:eastAsia="en-NZ"/>
      </w:rPr>
      <mc:AlternateContent>
        <mc:Choice Requires="wps">
          <w:drawing>
            <wp:anchor distT="0" distB="0" distL="114300" distR="114300" simplePos="0" relativeHeight="251659264" behindDoc="1" locked="0" layoutInCell="1" allowOverlap="1" wp14:anchorId="128EF6ED" wp14:editId="11A3A04B">
              <wp:simplePos x="0" y="0"/>
              <wp:positionH relativeFrom="page">
                <wp:align>center</wp:align>
              </wp:positionH>
              <wp:positionV relativeFrom="page">
                <wp:align>bottom</wp:align>
              </wp:positionV>
              <wp:extent cx="7560000" cy="1123200"/>
              <wp:effectExtent l="0" t="0" r="3175" b="1270"/>
              <wp:wrapNone/>
              <wp:docPr id="8" name="Rectangle 8"/>
              <wp:cNvGraphicFramePr/>
              <a:graphic xmlns:a="http://schemas.openxmlformats.org/drawingml/2006/main">
                <a:graphicData uri="http://schemas.microsoft.com/office/word/2010/wordprocessingShape">
                  <wps:wsp>
                    <wps:cNvSpPr/>
                    <wps:spPr>
                      <a:xfrm>
                        <a:off x="0" y="0"/>
                        <a:ext cx="7560000" cy="1123200"/>
                      </a:xfrm>
                      <a:prstGeom prst="rect">
                        <a:avLst/>
                      </a:prstGeom>
                      <a:solidFill>
                        <a:srgbClr val="174A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1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2170"/>
                            <w:gridCol w:w="1887"/>
                            <w:gridCol w:w="1886"/>
                            <w:gridCol w:w="1887"/>
                          </w:tblGrid>
                          <w:tr w:rsidR="006D093C" w:rsidRPr="00BD266B" w14:paraId="6850296D" w14:textId="77777777" w:rsidTr="00105F55">
                            <w:trPr>
                              <w:trHeight w:val="152"/>
                              <w:jc w:val="center"/>
                            </w:trPr>
                            <w:tc>
                              <w:tcPr>
                                <w:tcW w:w="3456" w:type="dxa"/>
                              </w:tcPr>
                              <w:p w14:paraId="4D490795" w14:textId="77777777" w:rsidR="006D093C" w:rsidRPr="00BD266B" w:rsidRDefault="006D093C" w:rsidP="006049E8">
                                <w:pPr>
                                  <w:pStyle w:val="BodyText"/>
                                  <w:rPr>
                                    <w:sz w:val="16"/>
                                    <w:szCs w:val="16"/>
                                  </w:rPr>
                                </w:pPr>
                              </w:p>
                            </w:tc>
                            <w:tc>
                              <w:tcPr>
                                <w:tcW w:w="2170" w:type="dxa"/>
                              </w:tcPr>
                              <w:p w14:paraId="05B4AAA9" w14:textId="77777777" w:rsidR="006D093C" w:rsidRPr="00823320" w:rsidRDefault="00C60F43" w:rsidP="006049E8">
                                <w:pPr>
                                  <w:pStyle w:val="BodyText"/>
                                  <w:rPr>
                                    <w:color w:val="FFFFFF" w:themeColor="background1"/>
                                    <w:spacing w:val="-2"/>
                                    <w:sz w:val="16"/>
                                    <w:szCs w:val="16"/>
                                  </w:rPr>
                                </w:pPr>
                                <w:r w:rsidRPr="00823320">
                                  <w:rPr>
                                    <w:b/>
                                    <w:color w:val="FFFFFF" w:themeColor="background1"/>
                                    <w:spacing w:val="-2"/>
                                    <w:sz w:val="16"/>
                                    <w:szCs w:val="16"/>
                                  </w:rPr>
                                  <w:t>Wellington o</w:t>
                                </w:r>
                                <w:r w:rsidR="006D093C" w:rsidRPr="00823320">
                                  <w:rPr>
                                    <w:b/>
                                    <w:color w:val="FFFFFF" w:themeColor="background1"/>
                                    <w:spacing w:val="-2"/>
                                    <w:sz w:val="16"/>
                                    <w:szCs w:val="16"/>
                                  </w:rPr>
                                  <w:t>ffice</w:t>
                                </w:r>
                                <w:r w:rsidR="006D093C" w:rsidRPr="00823320">
                                  <w:rPr>
                                    <w:color w:val="FFFFFF" w:themeColor="background1"/>
                                    <w:spacing w:val="-2"/>
                                    <w:sz w:val="16"/>
                                    <w:szCs w:val="16"/>
                                  </w:rPr>
                                  <w:br/>
                                  <w:t>PO Box 11646</w:t>
                                </w:r>
                                <w:r w:rsidR="006D093C" w:rsidRPr="00823320">
                                  <w:rPr>
                                    <w:color w:val="FFFFFF" w:themeColor="background1"/>
                                    <w:spacing w:val="-2"/>
                                    <w:sz w:val="16"/>
                                    <w:szCs w:val="16"/>
                                  </w:rPr>
                                  <w:br/>
                                  <w:t>Manners St, Wellington 6142</w:t>
                                </w:r>
                              </w:p>
                            </w:tc>
                            <w:tc>
                              <w:tcPr>
                                <w:tcW w:w="1887" w:type="dxa"/>
                              </w:tcPr>
                              <w:p w14:paraId="7F03CC77" w14:textId="77777777" w:rsidR="006D093C" w:rsidRPr="00BD266B" w:rsidRDefault="006D093C" w:rsidP="006049E8">
                                <w:pPr>
                                  <w:pStyle w:val="BodyText"/>
                                  <w:rPr>
                                    <w:sz w:val="16"/>
                                    <w:szCs w:val="16"/>
                                  </w:rPr>
                                </w:pPr>
                                <w:r w:rsidRPr="00551903">
                                  <w:rPr>
                                    <w:b/>
                                    <w:color w:val="FFFFFF" w:themeColor="background1"/>
                                    <w:sz w:val="16"/>
                                    <w:szCs w:val="16"/>
                                  </w:rPr>
                                  <w:t>Upper Hutt</w:t>
                                </w:r>
                                <w:r w:rsidRPr="00BD266B">
                                  <w:rPr>
                                    <w:color w:val="FFFFFF" w:themeColor="background1"/>
                                    <w:sz w:val="16"/>
                                    <w:szCs w:val="16"/>
                                  </w:rPr>
                                  <w:br/>
                                </w:r>
                                <w:r w:rsidRPr="00551903">
                                  <w:rPr>
                                    <w:color w:val="FFFFFF" w:themeColor="background1"/>
                                    <w:sz w:val="16"/>
                                    <w:szCs w:val="16"/>
                                  </w:rPr>
                                  <w:t>PO Box 40847</w:t>
                                </w:r>
                                <w:r w:rsidRPr="00BD266B">
                                  <w:rPr>
                                    <w:color w:val="FFFFFF" w:themeColor="background1"/>
                                    <w:sz w:val="16"/>
                                    <w:szCs w:val="16"/>
                                  </w:rPr>
                                  <w:br/>
                                </w:r>
                                <w:r>
                                  <w:rPr>
                                    <w:color w:val="FFFFFF" w:themeColor="background1"/>
                                    <w:sz w:val="16"/>
                                    <w:szCs w:val="16"/>
                                  </w:rPr>
                                  <w:t>1056 Fergusson Drive</w:t>
                                </w:r>
                              </w:p>
                            </w:tc>
                            <w:tc>
                              <w:tcPr>
                                <w:tcW w:w="1886" w:type="dxa"/>
                                <w:shd w:val="clear" w:color="auto" w:fill="auto"/>
                              </w:tcPr>
                              <w:p w14:paraId="4FC7DE7A" w14:textId="77777777" w:rsidR="006D093C" w:rsidRPr="00BD266B" w:rsidRDefault="006D093C" w:rsidP="006049E8">
                                <w:pPr>
                                  <w:pStyle w:val="BodyText"/>
                                  <w:rPr>
                                    <w:color w:val="FFFFFF" w:themeColor="background1"/>
                                    <w:sz w:val="16"/>
                                    <w:szCs w:val="16"/>
                                  </w:rPr>
                                </w:pPr>
                                <w:r w:rsidRPr="00BD266B">
                                  <w:rPr>
                                    <w:b/>
                                    <w:color w:val="FFFFFF" w:themeColor="background1"/>
                                    <w:sz w:val="16"/>
                                    <w:szCs w:val="16"/>
                                  </w:rPr>
                                  <w:t>Masterton office</w:t>
                                </w:r>
                                <w:r w:rsidRPr="00BD266B">
                                  <w:rPr>
                                    <w:color w:val="FFFFFF" w:themeColor="background1"/>
                                    <w:sz w:val="16"/>
                                    <w:szCs w:val="16"/>
                                  </w:rPr>
                                  <w:br/>
                                  <w:t>PO Box 41</w:t>
                                </w:r>
                                <w:r w:rsidRPr="00BD266B">
                                  <w:rPr>
                                    <w:color w:val="FFFFFF" w:themeColor="background1"/>
                                    <w:sz w:val="16"/>
                                    <w:szCs w:val="16"/>
                                  </w:rPr>
                                  <w:br/>
                                  <w:t>Masterton 5840</w:t>
                                </w:r>
                              </w:p>
                            </w:tc>
                            <w:tc>
                              <w:tcPr>
                                <w:tcW w:w="1887" w:type="dxa"/>
                                <w:shd w:val="clear" w:color="auto" w:fill="auto"/>
                              </w:tcPr>
                              <w:p w14:paraId="41AEC1DE" w14:textId="77777777" w:rsidR="006D093C" w:rsidRPr="00BD266B" w:rsidRDefault="006D093C" w:rsidP="006049E8">
                                <w:pPr>
                                  <w:pStyle w:val="BodyText"/>
                                  <w:rPr>
                                    <w:color w:val="FFFFFF" w:themeColor="background1"/>
                                    <w:sz w:val="16"/>
                                    <w:szCs w:val="16"/>
                                  </w:rPr>
                                </w:pPr>
                                <w:r w:rsidRPr="00BD266B">
                                  <w:rPr>
                                    <w:b/>
                                    <w:color w:val="FFFFFF" w:themeColor="background1"/>
                                    <w:sz w:val="16"/>
                                    <w:szCs w:val="16"/>
                                  </w:rPr>
                                  <w:t>0800 496 734</w:t>
                                </w:r>
                                <w:r w:rsidRPr="00BD266B">
                                  <w:rPr>
                                    <w:b/>
                                    <w:color w:val="FFFFFF" w:themeColor="background1"/>
                                    <w:sz w:val="16"/>
                                    <w:szCs w:val="16"/>
                                  </w:rPr>
                                  <w:br/>
                                  <w:t>www.gw.govt.nz</w:t>
                                </w:r>
                                <w:r w:rsidRPr="00BD266B">
                                  <w:rPr>
                                    <w:color w:val="FFFFFF" w:themeColor="background1"/>
                                    <w:sz w:val="16"/>
                                    <w:szCs w:val="16"/>
                                  </w:rPr>
                                  <w:br/>
                                  <w:t>info@gw.govt.nz</w:t>
                                </w:r>
                              </w:p>
                            </w:tc>
                          </w:tr>
                        </w:tbl>
                        <w:p w14:paraId="66523B3F" w14:textId="77777777" w:rsidR="006D093C" w:rsidRPr="009669F9" w:rsidRDefault="006D093C" w:rsidP="006D093C">
                          <w:pPr>
                            <w:jc w:val="center"/>
                            <w:rPr>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F6ED" id="Rectangle 8" o:spid="_x0000_s1026" style="position:absolute;margin-left:0;margin-top:0;width:595.3pt;height:88.4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" fillcolor="#174a5b" stroked="f" strokeweight="2pt">
              <v:textbox>
                <w:txbxContent>
                  <w:tbl>
                    <w:tblPr>
                      <w:tblStyle w:val="TableGrid"/>
                      <w:tblW w:w="11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2170"/>
                      <w:gridCol w:w="1887"/>
                      <w:gridCol w:w="1886"/>
                      <w:gridCol w:w="1887"/>
                    </w:tblGrid>
                    <w:tr w:rsidR="006D093C" w:rsidRPr="00BD266B" w14:paraId="6850296D" w14:textId="77777777" w:rsidTr="00105F55">
                      <w:trPr>
                        <w:trHeight w:val="152"/>
                        <w:jc w:val="center"/>
                      </w:trPr>
                      <w:tc>
                        <w:tcPr>
                          <w:tcW w:w="3456" w:type="dxa"/>
                        </w:tcPr>
                        <w:p w14:paraId="4D490795" w14:textId="77777777" w:rsidR="006D093C" w:rsidRPr="00BD266B" w:rsidRDefault="006D093C" w:rsidP="006049E8">
                          <w:pPr>
                            <w:pStyle w:val="BodyText"/>
                            <w:rPr>
                              <w:sz w:val="16"/>
                              <w:szCs w:val="16"/>
                            </w:rPr>
                          </w:pPr>
                        </w:p>
                      </w:tc>
                      <w:tc>
                        <w:tcPr>
                          <w:tcW w:w="2170" w:type="dxa"/>
                        </w:tcPr>
                        <w:p w14:paraId="05B4AAA9" w14:textId="77777777" w:rsidR="006D093C" w:rsidRPr="00823320" w:rsidRDefault="00C60F43" w:rsidP="006049E8">
                          <w:pPr>
                            <w:pStyle w:val="BodyText"/>
                            <w:rPr>
                              <w:color w:val="FFFFFF" w:themeColor="background1"/>
                              <w:spacing w:val="-2"/>
                              <w:sz w:val="16"/>
                              <w:szCs w:val="16"/>
                            </w:rPr>
                          </w:pPr>
                          <w:r w:rsidRPr="00823320">
                            <w:rPr>
                              <w:b/>
                              <w:color w:val="FFFFFF" w:themeColor="background1"/>
                              <w:spacing w:val="-2"/>
                              <w:sz w:val="16"/>
                              <w:szCs w:val="16"/>
                            </w:rPr>
                            <w:t>Wellington o</w:t>
                          </w:r>
                          <w:r w:rsidR="006D093C" w:rsidRPr="00823320">
                            <w:rPr>
                              <w:b/>
                              <w:color w:val="FFFFFF" w:themeColor="background1"/>
                              <w:spacing w:val="-2"/>
                              <w:sz w:val="16"/>
                              <w:szCs w:val="16"/>
                            </w:rPr>
                            <w:t>ffice</w:t>
                          </w:r>
                          <w:r w:rsidR="006D093C" w:rsidRPr="00823320">
                            <w:rPr>
                              <w:color w:val="FFFFFF" w:themeColor="background1"/>
                              <w:spacing w:val="-2"/>
                              <w:sz w:val="16"/>
                              <w:szCs w:val="16"/>
                            </w:rPr>
                            <w:br/>
                            <w:t>PO Box 11646</w:t>
                          </w:r>
                          <w:r w:rsidR="006D093C" w:rsidRPr="00823320">
                            <w:rPr>
                              <w:color w:val="FFFFFF" w:themeColor="background1"/>
                              <w:spacing w:val="-2"/>
                              <w:sz w:val="16"/>
                              <w:szCs w:val="16"/>
                            </w:rPr>
                            <w:br/>
                            <w:t>Manners St, Wellington 6142</w:t>
                          </w:r>
                        </w:p>
                      </w:tc>
                      <w:tc>
                        <w:tcPr>
                          <w:tcW w:w="1887" w:type="dxa"/>
                        </w:tcPr>
                        <w:p w14:paraId="7F03CC77" w14:textId="77777777" w:rsidR="006D093C" w:rsidRPr="00BD266B" w:rsidRDefault="006D093C" w:rsidP="006049E8">
                          <w:pPr>
                            <w:pStyle w:val="BodyText"/>
                            <w:rPr>
                              <w:sz w:val="16"/>
                              <w:szCs w:val="16"/>
                            </w:rPr>
                          </w:pPr>
                          <w:r w:rsidRPr="00551903">
                            <w:rPr>
                              <w:b/>
                              <w:color w:val="FFFFFF" w:themeColor="background1"/>
                              <w:sz w:val="16"/>
                              <w:szCs w:val="16"/>
                            </w:rPr>
                            <w:t>Upper Hutt</w:t>
                          </w:r>
                          <w:r w:rsidRPr="00BD266B">
                            <w:rPr>
                              <w:color w:val="FFFFFF" w:themeColor="background1"/>
                              <w:sz w:val="16"/>
                              <w:szCs w:val="16"/>
                            </w:rPr>
                            <w:br/>
                          </w:r>
                          <w:r w:rsidRPr="00551903">
                            <w:rPr>
                              <w:color w:val="FFFFFF" w:themeColor="background1"/>
                              <w:sz w:val="16"/>
                              <w:szCs w:val="16"/>
                            </w:rPr>
                            <w:t>PO Box 40847</w:t>
                          </w:r>
                          <w:r w:rsidRPr="00BD266B">
                            <w:rPr>
                              <w:color w:val="FFFFFF" w:themeColor="background1"/>
                              <w:sz w:val="16"/>
                              <w:szCs w:val="16"/>
                            </w:rPr>
                            <w:br/>
                          </w:r>
                          <w:r>
                            <w:rPr>
                              <w:color w:val="FFFFFF" w:themeColor="background1"/>
                              <w:sz w:val="16"/>
                              <w:szCs w:val="16"/>
                            </w:rPr>
                            <w:t>1056 Fergusson Drive</w:t>
                          </w:r>
                        </w:p>
                      </w:tc>
                      <w:tc>
                        <w:tcPr>
                          <w:tcW w:w="1886" w:type="dxa"/>
                          <w:shd w:val="clear" w:color="auto" w:fill="auto"/>
                        </w:tcPr>
                        <w:p w14:paraId="4FC7DE7A" w14:textId="77777777" w:rsidR="006D093C" w:rsidRPr="00BD266B" w:rsidRDefault="006D093C" w:rsidP="006049E8">
                          <w:pPr>
                            <w:pStyle w:val="BodyText"/>
                            <w:rPr>
                              <w:color w:val="FFFFFF" w:themeColor="background1"/>
                              <w:sz w:val="16"/>
                              <w:szCs w:val="16"/>
                            </w:rPr>
                          </w:pPr>
                          <w:r w:rsidRPr="00BD266B">
                            <w:rPr>
                              <w:b/>
                              <w:color w:val="FFFFFF" w:themeColor="background1"/>
                              <w:sz w:val="16"/>
                              <w:szCs w:val="16"/>
                            </w:rPr>
                            <w:t>Masterton office</w:t>
                          </w:r>
                          <w:r w:rsidRPr="00BD266B">
                            <w:rPr>
                              <w:color w:val="FFFFFF" w:themeColor="background1"/>
                              <w:sz w:val="16"/>
                              <w:szCs w:val="16"/>
                            </w:rPr>
                            <w:br/>
                            <w:t>PO Box 41</w:t>
                          </w:r>
                          <w:r w:rsidRPr="00BD266B">
                            <w:rPr>
                              <w:color w:val="FFFFFF" w:themeColor="background1"/>
                              <w:sz w:val="16"/>
                              <w:szCs w:val="16"/>
                            </w:rPr>
                            <w:br/>
                            <w:t>Masterton 5840</w:t>
                          </w:r>
                        </w:p>
                      </w:tc>
                      <w:tc>
                        <w:tcPr>
                          <w:tcW w:w="1887" w:type="dxa"/>
                          <w:shd w:val="clear" w:color="auto" w:fill="auto"/>
                        </w:tcPr>
                        <w:p w14:paraId="41AEC1DE" w14:textId="77777777" w:rsidR="006D093C" w:rsidRPr="00BD266B" w:rsidRDefault="006D093C" w:rsidP="006049E8">
                          <w:pPr>
                            <w:pStyle w:val="BodyText"/>
                            <w:rPr>
                              <w:color w:val="FFFFFF" w:themeColor="background1"/>
                              <w:sz w:val="16"/>
                              <w:szCs w:val="16"/>
                            </w:rPr>
                          </w:pPr>
                          <w:r w:rsidRPr="00BD266B">
                            <w:rPr>
                              <w:b/>
                              <w:color w:val="FFFFFF" w:themeColor="background1"/>
                              <w:sz w:val="16"/>
                              <w:szCs w:val="16"/>
                            </w:rPr>
                            <w:t>0800 496 734</w:t>
                          </w:r>
                          <w:r w:rsidRPr="00BD266B">
                            <w:rPr>
                              <w:b/>
                              <w:color w:val="FFFFFF" w:themeColor="background1"/>
                              <w:sz w:val="16"/>
                              <w:szCs w:val="16"/>
                            </w:rPr>
                            <w:br/>
                            <w:t>www.gw.govt.nz</w:t>
                          </w:r>
                          <w:r w:rsidRPr="00BD266B">
                            <w:rPr>
                              <w:color w:val="FFFFFF" w:themeColor="background1"/>
                              <w:sz w:val="16"/>
                              <w:szCs w:val="16"/>
                            </w:rPr>
                            <w:br/>
                            <w:t>info@gw.govt.nz</w:t>
                          </w:r>
                        </w:p>
                      </w:tc>
                    </w:tr>
                  </w:tbl>
                  <w:p w14:paraId="66523B3F" w14:textId="77777777" w:rsidR="006D093C" w:rsidRPr="009669F9" w:rsidRDefault="006D093C" w:rsidP="006D093C">
                    <w:pPr>
                      <w:jc w:val="center"/>
                      <w:rPr>
                        <w:sz w:val="4"/>
                        <w:szCs w:val="4"/>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EFA00" w14:textId="77777777" w:rsidR="007E0043" w:rsidRPr="00673472" w:rsidRDefault="007E0043" w:rsidP="00144157">
    <w:pPr>
      <w:pStyle w:val="GWFooter"/>
      <w:rPr>
        <w:vanish/>
      </w:rPr>
    </w:pPr>
    <w:r>
      <w:rPr>
        <w:vanish/>
      </w:rPr>
      <w:t>Letter</w:t>
    </w:r>
  </w:p>
  <w:p w14:paraId="37D9D7BF" w14:textId="77777777" w:rsidR="007E0043" w:rsidRDefault="007E0043" w:rsidP="00144157">
    <w:pPr>
      <w:pStyle w:val="GWFooter"/>
    </w:pPr>
  </w:p>
  <w:p w14:paraId="3B369D11" w14:textId="77777777" w:rsidR="007E0043" w:rsidRDefault="007E0043" w:rsidP="00144157">
    <w:pPr>
      <w:pStyle w:val="GWFooter"/>
    </w:pPr>
  </w:p>
  <w:p w14:paraId="3934777C" w14:textId="0FE9ED98" w:rsidR="007E0043" w:rsidRPr="00444EFE" w:rsidRDefault="007E0043" w:rsidP="00144157">
    <w:pPr>
      <w:pStyle w:val="GW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4539" w14:textId="77777777" w:rsidR="001340E6" w:rsidRDefault="001340E6">
      <w:r>
        <w:separator/>
      </w:r>
    </w:p>
  </w:footnote>
  <w:footnote w:type="continuationSeparator" w:id="0">
    <w:p w14:paraId="4A9AAA0B" w14:textId="77777777" w:rsidR="001340E6" w:rsidRDefault="001340E6">
      <w:r>
        <w:continuationSeparator/>
      </w:r>
    </w:p>
  </w:footnote>
  <w:footnote w:id="1">
    <w:p w14:paraId="520514C9" w14:textId="77777777" w:rsidR="007E0043" w:rsidRPr="00330B5C" w:rsidRDefault="007E0043" w:rsidP="007E0043">
      <w:pPr>
        <w:pStyle w:val="FootnoteText"/>
        <w:rPr>
          <w:lang w:val="mi-NZ"/>
        </w:rPr>
      </w:pPr>
      <w:r>
        <w:rPr>
          <w:rStyle w:val="FootnoteReference"/>
        </w:rPr>
        <w:footnoteRef/>
      </w:r>
      <w:r>
        <w:t xml:space="preserve"> As defined by our Significance and Engagement Policy 2023</w:t>
      </w:r>
    </w:p>
  </w:footnote>
  <w:footnote w:id="2">
    <w:p w14:paraId="7DB7BD4D" w14:textId="77777777" w:rsidR="007E0043" w:rsidRPr="00F1023C" w:rsidRDefault="007E0043" w:rsidP="007E0043">
      <w:pPr>
        <w:pStyle w:val="FootnoteText"/>
        <w:rPr>
          <w:lang w:val="mi-NZ"/>
        </w:rPr>
      </w:pPr>
      <w:r w:rsidRPr="00983D57">
        <w:rPr>
          <w:rStyle w:val="FootnoteReference"/>
        </w:rPr>
        <w:footnoteRef/>
      </w:r>
      <w:r w:rsidRPr="00983D57">
        <w:t xml:space="preserve"> Local Government (Water Services) Bill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6760E" w14:textId="77777777" w:rsidR="00DF4E1A" w:rsidRDefault="00613F2C" w:rsidP="00613F2C">
    <w:pPr>
      <w:pStyle w:val="Header"/>
      <w:tabs>
        <w:tab w:val="clear" w:pos="9333"/>
        <w:tab w:val="center" w:pos="3969"/>
        <w:tab w:val="right" w:pos="9639"/>
      </w:tabs>
    </w:pPr>
    <w:bookmarkStart w:id="1" w:name="Logo3"/>
    <w:bookmarkStart w:id="2" w:name="CopyToPrimaryHeaderStoryOfOIALetter"/>
    <w:r>
      <w:rPr>
        <w:noProof/>
        <w:lang w:eastAsia="en-NZ"/>
      </w:rPr>
      <w:drawing>
        <wp:inline distT="0" distB="0" distL="0" distR="0" wp14:anchorId="22C55BED" wp14:editId="08644D65">
          <wp:extent cx="1724400" cy="537886"/>
          <wp:effectExtent l="0" t="0" r="9525" b="0"/>
          <wp:docPr id="449123420" name="Picture 44912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 Wellington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537886"/>
                  </a:xfrm>
                  <a:prstGeom prst="rect">
                    <a:avLst/>
                  </a:prstGeom>
                </pic:spPr>
              </pic:pic>
            </a:graphicData>
          </a:graphic>
        </wp:inline>
      </w:drawing>
    </w:r>
    <w:bookmarkEnd w:id="1"/>
    <w:bookmarkEnd w:id="2"/>
  </w:p>
  <w:p w14:paraId="645641CE" w14:textId="77777777" w:rsidR="00000000" w:rsidRDefault="00000000"/>
  <w:p w14:paraId="618BD2B9" w14:textId="5C277345" w:rsidR="00000000" w:rsidRDefault="00C320F7">
    <w:r>
      <w:tab/>
    </w:r>
    <w:r>
      <w:tab/>
      <w:t>P</w:t>
    </w:r>
    <w:r w:rsidRPr="00444EFE">
      <w:t xml:space="preserve">age </w:t>
    </w:r>
    <w:r w:rsidR="00DF4E1A" w:rsidRPr="00444EFE">
      <w:fldChar w:fldCharType="begin"/>
    </w:r>
    <w:r w:rsidR="00DF4E1A" w:rsidRPr="00444EFE">
      <w:instrText xml:space="preserve"> PAGE </w:instrText>
    </w:r>
    <w:r w:rsidR="00DF4E1A" w:rsidRPr="00444EFE">
      <w:fldChar w:fldCharType="separate"/>
    </w:r>
    <w:r w:rsidR="00D02695">
      <w:rPr>
        <w:noProof/>
      </w:rPr>
      <w:t>1</w:t>
    </w:r>
    <w:r w:rsidR="00DF4E1A" w:rsidRPr="00444EFE">
      <w:fldChar w:fldCharType="end"/>
    </w:r>
    <w:r w:rsidRPr="00444EFE">
      <w:t xml:space="preserve"> of </w:t>
    </w:r>
    <w:r w:rsidR="00787A68">
      <w:fldChar w:fldCharType="begin"/>
    </w:r>
    <w:r w:rsidR="00787A68">
      <w:instrText xml:space="preserve"> NUMPAGES </w:instrText>
    </w:r>
    <w:r w:rsidR="00787A68">
      <w:fldChar w:fldCharType="separate"/>
    </w:r>
    <w:r w:rsidR="00D02695">
      <w:rPr>
        <w:noProof/>
      </w:rPr>
      <w:t>1</w:t>
    </w:r>
    <w:r w:rsidR="00787A6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FD19" w14:textId="77777777" w:rsidR="00DF4E1A" w:rsidRDefault="00613F2C" w:rsidP="00613F2C">
    <w:pPr>
      <w:ind w:right="57"/>
    </w:pPr>
    <w:r>
      <w:rPr>
        <w:noProof/>
        <w:lang w:eastAsia="en-NZ"/>
      </w:rPr>
      <w:drawing>
        <wp:inline distT="0" distB="0" distL="0" distR="0" wp14:anchorId="0AF9DB4F" wp14:editId="2E5F2158">
          <wp:extent cx="1724400" cy="537886"/>
          <wp:effectExtent l="0" t="0" r="9525" b="0"/>
          <wp:docPr id="694116872" name="Picture 69411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 Wellington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400" cy="537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3E2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E1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6C96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249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707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243B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BCF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8" w15:restartNumberingAfterBreak="0">
    <w:nsid w:val="FFFFFF88"/>
    <w:multiLevelType w:val="singleLevel"/>
    <w:tmpl w:val="D4845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462ED4"/>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00C2453E"/>
    <w:multiLevelType w:val="multilevel"/>
    <w:tmpl w:val="2110C83C"/>
    <w:lvl w:ilvl="0">
      <w:start w:val="1"/>
      <w:numFmt w:val="decimal"/>
      <w:pStyle w:val="RecNumber"/>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030D3912"/>
    <w:multiLevelType w:val="hybridMultilevel"/>
    <w:tmpl w:val="69624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A6637A"/>
    <w:multiLevelType w:val="hybridMultilevel"/>
    <w:tmpl w:val="28BC0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952569"/>
    <w:multiLevelType w:val="hybridMultilevel"/>
    <w:tmpl w:val="F4F4D566"/>
    <w:lvl w:ilvl="0" w:tplc="14090001">
      <w:start w:val="1"/>
      <w:numFmt w:val="bullet"/>
      <w:lvlText w:val=""/>
      <w:lvlJc w:val="left"/>
      <w:pPr>
        <w:ind w:left="904" w:hanging="360"/>
      </w:pPr>
      <w:rPr>
        <w:rFonts w:ascii="Symbol" w:hAnsi="Symbol" w:hint="default"/>
      </w:rPr>
    </w:lvl>
    <w:lvl w:ilvl="1" w:tplc="14090003" w:tentative="1">
      <w:start w:val="1"/>
      <w:numFmt w:val="bullet"/>
      <w:lvlText w:val="o"/>
      <w:lvlJc w:val="left"/>
      <w:pPr>
        <w:ind w:left="1624" w:hanging="360"/>
      </w:pPr>
      <w:rPr>
        <w:rFonts w:ascii="Courier New" w:hAnsi="Courier New" w:cs="Courier New" w:hint="default"/>
      </w:rPr>
    </w:lvl>
    <w:lvl w:ilvl="2" w:tplc="14090005" w:tentative="1">
      <w:start w:val="1"/>
      <w:numFmt w:val="bullet"/>
      <w:lvlText w:val=""/>
      <w:lvlJc w:val="left"/>
      <w:pPr>
        <w:ind w:left="2344" w:hanging="360"/>
      </w:pPr>
      <w:rPr>
        <w:rFonts w:ascii="Wingdings" w:hAnsi="Wingdings" w:hint="default"/>
      </w:rPr>
    </w:lvl>
    <w:lvl w:ilvl="3" w:tplc="14090001" w:tentative="1">
      <w:start w:val="1"/>
      <w:numFmt w:val="bullet"/>
      <w:lvlText w:val=""/>
      <w:lvlJc w:val="left"/>
      <w:pPr>
        <w:ind w:left="3064" w:hanging="360"/>
      </w:pPr>
      <w:rPr>
        <w:rFonts w:ascii="Symbol" w:hAnsi="Symbol" w:hint="default"/>
      </w:rPr>
    </w:lvl>
    <w:lvl w:ilvl="4" w:tplc="14090003" w:tentative="1">
      <w:start w:val="1"/>
      <w:numFmt w:val="bullet"/>
      <w:lvlText w:val="o"/>
      <w:lvlJc w:val="left"/>
      <w:pPr>
        <w:ind w:left="3784" w:hanging="360"/>
      </w:pPr>
      <w:rPr>
        <w:rFonts w:ascii="Courier New" w:hAnsi="Courier New" w:cs="Courier New" w:hint="default"/>
      </w:rPr>
    </w:lvl>
    <w:lvl w:ilvl="5" w:tplc="14090005" w:tentative="1">
      <w:start w:val="1"/>
      <w:numFmt w:val="bullet"/>
      <w:lvlText w:val=""/>
      <w:lvlJc w:val="left"/>
      <w:pPr>
        <w:ind w:left="4504" w:hanging="360"/>
      </w:pPr>
      <w:rPr>
        <w:rFonts w:ascii="Wingdings" w:hAnsi="Wingdings" w:hint="default"/>
      </w:rPr>
    </w:lvl>
    <w:lvl w:ilvl="6" w:tplc="14090001" w:tentative="1">
      <w:start w:val="1"/>
      <w:numFmt w:val="bullet"/>
      <w:lvlText w:val=""/>
      <w:lvlJc w:val="left"/>
      <w:pPr>
        <w:ind w:left="5224" w:hanging="360"/>
      </w:pPr>
      <w:rPr>
        <w:rFonts w:ascii="Symbol" w:hAnsi="Symbol" w:hint="default"/>
      </w:rPr>
    </w:lvl>
    <w:lvl w:ilvl="7" w:tplc="14090003" w:tentative="1">
      <w:start w:val="1"/>
      <w:numFmt w:val="bullet"/>
      <w:lvlText w:val="o"/>
      <w:lvlJc w:val="left"/>
      <w:pPr>
        <w:ind w:left="5944" w:hanging="360"/>
      </w:pPr>
      <w:rPr>
        <w:rFonts w:ascii="Courier New" w:hAnsi="Courier New" w:cs="Courier New" w:hint="default"/>
      </w:rPr>
    </w:lvl>
    <w:lvl w:ilvl="8" w:tplc="14090005" w:tentative="1">
      <w:start w:val="1"/>
      <w:numFmt w:val="bullet"/>
      <w:lvlText w:val=""/>
      <w:lvlJc w:val="left"/>
      <w:pPr>
        <w:ind w:left="6664" w:hanging="360"/>
      </w:pPr>
      <w:rPr>
        <w:rFonts w:ascii="Wingdings" w:hAnsi="Wingdings" w:hint="default"/>
      </w:rPr>
    </w:lvl>
  </w:abstractNum>
  <w:abstractNum w:abstractNumId="14" w15:restartNumberingAfterBreak="0">
    <w:nsid w:val="258222AE"/>
    <w:multiLevelType w:val="singleLevel"/>
    <w:tmpl w:val="A806900A"/>
    <w:lvl w:ilvl="0">
      <w:start w:val="1"/>
      <w:numFmt w:val="bullet"/>
      <w:pStyle w:val="GWBullet2"/>
      <w:lvlText w:val=""/>
      <w:lvlJc w:val="left"/>
      <w:pPr>
        <w:tabs>
          <w:tab w:val="num" w:pos="454"/>
        </w:tabs>
        <w:ind w:left="454" w:hanging="454"/>
      </w:pPr>
      <w:rPr>
        <w:rFonts w:ascii="Symbol" w:hAnsi="Symbol" w:hint="default"/>
      </w:rPr>
    </w:lvl>
  </w:abstractNum>
  <w:abstractNum w:abstractNumId="15" w15:restartNumberingAfterBreak="0">
    <w:nsid w:val="27272AFA"/>
    <w:multiLevelType w:val="multilevel"/>
    <w:tmpl w:val="8436B152"/>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2D67113E"/>
    <w:multiLevelType w:val="hybridMultilevel"/>
    <w:tmpl w:val="66D8F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646323"/>
    <w:multiLevelType w:val="singleLevel"/>
    <w:tmpl w:val="66F2CCDE"/>
    <w:lvl w:ilvl="0">
      <w:start w:val="1"/>
      <w:numFmt w:val="bullet"/>
      <w:pStyle w:val="GWBullet1"/>
      <w:lvlText w:val=""/>
      <w:lvlJc w:val="left"/>
      <w:pPr>
        <w:tabs>
          <w:tab w:val="num" w:pos="425"/>
        </w:tabs>
        <w:ind w:left="425" w:hanging="425"/>
      </w:pPr>
      <w:rPr>
        <w:rFonts w:ascii="Symbol" w:hAnsi="Symbol" w:hint="default"/>
      </w:rPr>
    </w:lvl>
  </w:abstractNum>
  <w:abstractNum w:abstractNumId="18" w15:restartNumberingAfterBreak="0">
    <w:nsid w:val="315E1CBD"/>
    <w:multiLevelType w:val="singleLevel"/>
    <w:tmpl w:val="1D5469D8"/>
    <w:lvl w:ilvl="0">
      <w:start w:val="1"/>
      <w:numFmt w:val="bullet"/>
      <w:pStyle w:val="GWBullet4"/>
      <w:lvlText w:val=""/>
      <w:lvlJc w:val="left"/>
      <w:pPr>
        <w:tabs>
          <w:tab w:val="num" w:pos="907"/>
        </w:tabs>
        <w:ind w:left="907" w:hanging="453"/>
      </w:pPr>
      <w:rPr>
        <w:rFonts w:ascii="Symbol" w:hAnsi="Symbol" w:hint="default"/>
        <w:sz w:val="16"/>
      </w:rPr>
    </w:lvl>
  </w:abstractNum>
  <w:abstractNum w:abstractNumId="19" w15:restartNumberingAfterBreak="0">
    <w:nsid w:val="3A4B209F"/>
    <w:multiLevelType w:val="hybridMultilevel"/>
    <w:tmpl w:val="EDC8A39A"/>
    <w:lvl w:ilvl="0" w:tplc="7398F1B2">
      <w:start w:val="95"/>
      <w:numFmt w:val="bullet"/>
      <w:lvlText w:val="-"/>
      <w:lvlJc w:val="left"/>
      <w:pPr>
        <w:ind w:left="720" w:hanging="360"/>
      </w:pPr>
      <w:rPr>
        <w:rFonts w:ascii="Aptos" w:eastAsia="Times New Roman" w:hAnsi="Apto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E57E10"/>
    <w:multiLevelType w:val="multilevel"/>
    <w:tmpl w:val="C122E4C0"/>
    <w:lvl w:ilvl="0">
      <w:start w:val="1"/>
      <w:numFmt w:val="decimal"/>
      <w:pStyle w:val="GWOutlineC1"/>
      <w:lvlText w:val="%1."/>
      <w:lvlJc w:val="left"/>
      <w:pPr>
        <w:tabs>
          <w:tab w:val="num" w:pos="425"/>
        </w:tabs>
        <w:ind w:left="425" w:hanging="425"/>
      </w:pPr>
      <w:rPr>
        <w:rFonts w:ascii="Aptos" w:hAnsi="Aptos" w:hint="default"/>
        <w:b w:val="0"/>
        <w:i w:val="0"/>
        <w:sz w:val="24"/>
      </w:rPr>
    </w:lvl>
    <w:lvl w:ilvl="1">
      <w:start w:val="1"/>
      <w:numFmt w:val="lowerLetter"/>
      <w:pStyle w:val="GWOutlineC2"/>
      <w:lvlText w:val="%2)"/>
      <w:lvlJc w:val="left"/>
      <w:pPr>
        <w:tabs>
          <w:tab w:val="num" w:pos="851"/>
        </w:tabs>
        <w:ind w:left="851" w:hanging="426"/>
      </w:pPr>
      <w:rPr>
        <w:rFonts w:ascii="Aptos" w:hAnsi="Aptos" w:hint="default"/>
        <w:b w:val="0"/>
        <w:i w:val="0"/>
        <w:sz w:val="24"/>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4ECB0D5E"/>
    <w:multiLevelType w:val="singleLevel"/>
    <w:tmpl w:val="12C0B62A"/>
    <w:lvl w:ilvl="0">
      <w:start w:val="1"/>
      <w:numFmt w:val="bullet"/>
      <w:pStyle w:val="GWBullet3"/>
      <w:lvlText w:val=""/>
      <w:lvlJc w:val="left"/>
      <w:pPr>
        <w:tabs>
          <w:tab w:val="num" w:pos="851"/>
        </w:tabs>
        <w:ind w:left="851" w:hanging="426"/>
      </w:pPr>
      <w:rPr>
        <w:rFonts w:ascii="Symbol" w:hAnsi="Symbol" w:hint="default"/>
        <w:sz w:val="16"/>
      </w:rPr>
    </w:lvl>
  </w:abstractNum>
  <w:abstractNum w:abstractNumId="22" w15:restartNumberingAfterBreak="0">
    <w:nsid w:val="52612702"/>
    <w:multiLevelType w:val="multilevel"/>
    <w:tmpl w:val="80E6651A"/>
    <w:lvl w:ilvl="0">
      <w:start w:val="1"/>
      <w:numFmt w:val="decimal"/>
      <w:pStyle w:val="ReportBody"/>
      <w:lvlText w:val="%1"/>
      <w:lvlJc w:val="left"/>
      <w:pPr>
        <w:tabs>
          <w:tab w:val="num" w:pos="493"/>
        </w:tabs>
        <w:ind w:left="493" w:hanging="493"/>
      </w:pPr>
      <w:rPr>
        <w:rFonts w:hint="default"/>
        <w:b w:val="0"/>
        <w:i w:val="0"/>
        <w:color w:val="auto"/>
        <w:sz w:val="24"/>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15:restartNumberingAfterBreak="0">
    <w:nsid w:val="58726376"/>
    <w:multiLevelType w:val="multilevel"/>
    <w:tmpl w:val="9DC66348"/>
    <w:lvl w:ilvl="0">
      <w:start w:val="1"/>
      <w:numFmt w:val="decimal"/>
      <w:pStyle w:val="GWOutlineB1"/>
      <w:lvlText w:val="%1."/>
      <w:lvlJc w:val="left"/>
      <w:pPr>
        <w:tabs>
          <w:tab w:val="num" w:pos="851"/>
        </w:tabs>
        <w:ind w:left="851" w:hanging="851"/>
      </w:p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794A5907"/>
    <w:multiLevelType w:val="hybridMultilevel"/>
    <w:tmpl w:val="E796E4B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9182210">
    <w:abstractNumId w:val="10"/>
  </w:num>
  <w:num w:numId="2" w16cid:durableId="1322806249">
    <w:abstractNumId w:val="22"/>
  </w:num>
  <w:num w:numId="3" w16cid:durableId="163783079">
    <w:abstractNumId w:val="9"/>
  </w:num>
  <w:num w:numId="4" w16cid:durableId="1554191926">
    <w:abstractNumId w:val="7"/>
  </w:num>
  <w:num w:numId="5" w16cid:durableId="91628181">
    <w:abstractNumId w:val="17"/>
  </w:num>
  <w:num w:numId="6" w16cid:durableId="1977759332">
    <w:abstractNumId w:val="14"/>
  </w:num>
  <w:num w:numId="7" w16cid:durableId="1143157085">
    <w:abstractNumId w:val="21"/>
  </w:num>
  <w:num w:numId="8" w16cid:durableId="634870461">
    <w:abstractNumId w:val="18"/>
  </w:num>
  <w:num w:numId="9" w16cid:durableId="1798839400">
    <w:abstractNumId w:val="15"/>
  </w:num>
  <w:num w:numId="10" w16cid:durableId="828643226">
    <w:abstractNumId w:val="23"/>
  </w:num>
  <w:num w:numId="11" w16cid:durableId="456097165">
    <w:abstractNumId w:val="20"/>
  </w:num>
  <w:num w:numId="12" w16cid:durableId="2054498523">
    <w:abstractNumId w:val="6"/>
  </w:num>
  <w:num w:numId="13" w16cid:durableId="1724063966">
    <w:abstractNumId w:val="5"/>
  </w:num>
  <w:num w:numId="14" w16cid:durableId="321204678">
    <w:abstractNumId w:val="4"/>
  </w:num>
  <w:num w:numId="15" w16cid:durableId="573779449">
    <w:abstractNumId w:val="8"/>
  </w:num>
  <w:num w:numId="16" w16cid:durableId="1023632405">
    <w:abstractNumId w:val="3"/>
  </w:num>
  <w:num w:numId="17" w16cid:durableId="35936986">
    <w:abstractNumId w:val="2"/>
  </w:num>
  <w:num w:numId="18" w16cid:durableId="2035694906">
    <w:abstractNumId w:val="1"/>
  </w:num>
  <w:num w:numId="19" w16cid:durableId="320736959">
    <w:abstractNumId w:val="0"/>
  </w:num>
  <w:num w:numId="20" w16cid:durableId="1232738365">
    <w:abstractNumId w:val="12"/>
  </w:num>
  <w:num w:numId="21" w16cid:durableId="2139714952">
    <w:abstractNumId w:val="19"/>
  </w:num>
  <w:num w:numId="22" w16cid:durableId="725494272">
    <w:abstractNumId w:val="24"/>
  </w:num>
  <w:num w:numId="23" w16cid:durableId="1526676124">
    <w:abstractNumId w:val="16"/>
  </w:num>
  <w:num w:numId="24" w16cid:durableId="153380413">
    <w:abstractNumId w:val="11"/>
  </w:num>
  <w:num w:numId="25" w16cid:durableId="108352926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DateAndTime/>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drawingGridHorizontalSpacing w:val="171"/>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User" w:val="John Brown"/>
  </w:docVars>
  <w:rsids>
    <w:rsidRoot w:val="007E0043"/>
    <w:rsid w:val="0000066F"/>
    <w:rsid w:val="00002A97"/>
    <w:rsid w:val="0000347E"/>
    <w:rsid w:val="000061D0"/>
    <w:rsid w:val="00006F58"/>
    <w:rsid w:val="00014299"/>
    <w:rsid w:val="00016F66"/>
    <w:rsid w:val="00020542"/>
    <w:rsid w:val="00022A16"/>
    <w:rsid w:val="000274ED"/>
    <w:rsid w:val="00032DD5"/>
    <w:rsid w:val="0003676A"/>
    <w:rsid w:val="00036AA2"/>
    <w:rsid w:val="00042A28"/>
    <w:rsid w:val="00045157"/>
    <w:rsid w:val="00045B9E"/>
    <w:rsid w:val="00047BA9"/>
    <w:rsid w:val="000530FC"/>
    <w:rsid w:val="00053FB2"/>
    <w:rsid w:val="00060990"/>
    <w:rsid w:val="00061EDF"/>
    <w:rsid w:val="000631C0"/>
    <w:rsid w:val="00063760"/>
    <w:rsid w:val="00063E03"/>
    <w:rsid w:val="00067498"/>
    <w:rsid w:val="00070607"/>
    <w:rsid w:val="00071635"/>
    <w:rsid w:val="00075221"/>
    <w:rsid w:val="000765F3"/>
    <w:rsid w:val="000771E7"/>
    <w:rsid w:val="00081B15"/>
    <w:rsid w:val="00086DE3"/>
    <w:rsid w:val="00087DE5"/>
    <w:rsid w:val="00090E16"/>
    <w:rsid w:val="00091007"/>
    <w:rsid w:val="000948DA"/>
    <w:rsid w:val="00094B7F"/>
    <w:rsid w:val="000A585C"/>
    <w:rsid w:val="000A6078"/>
    <w:rsid w:val="000B77FE"/>
    <w:rsid w:val="000C0483"/>
    <w:rsid w:val="000C3668"/>
    <w:rsid w:val="000D2D7E"/>
    <w:rsid w:val="000D5196"/>
    <w:rsid w:val="000D71CA"/>
    <w:rsid w:val="000D7709"/>
    <w:rsid w:val="000E3FDC"/>
    <w:rsid w:val="000F3510"/>
    <w:rsid w:val="00101F33"/>
    <w:rsid w:val="001062C6"/>
    <w:rsid w:val="00106D2B"/>
    <w:rsid w:val="00107573"/>
    <w:rsid w:val="00107FB9"/>
    <w:rsid w:val="00111F39"/>
    <w:rsid w:val="00111FE0"/>
    <w:rsid w:val="00112287"/>
    <w:rsid w:val="001160C6"/>
    <w:rsid w:val="00121B7D"/>
    <w:rsid w:val="001340E6"/>
    <w:rsid w:val="001358E3"/>
    <w:rsid w:val="00136D48"/>
    <w:rsid w:val="00137F60"/>
    <w:rsid w:val="0014095D"/>
    <w:rsid w:val="0014253F"/>
    <w:rsid w:val="00144157"/>
    <w:rsid w:val="001549AE"/>
    <w:rsid w:val="00155486"/>
    <w:rsid w:val="00160F59"/>
    <w:rsid w:val="00161807"/>
    <w:rsid w:val="00163E44"/>
    <w:rsid w:val="00164367"/>
    <w:rsid w:val="001650C1"/>
    <w:rsid w:val="0016738F"/>
    <w:rsid w:val="00177BA4"/>
    <w:rsid w:val="0018011C"/>
    <w:rsid w:val="00180EEF"/>
    <w:rsid w:val="001813A7"/>
    <w:rsid w:val="00181655"/>
    <w:rsid w:val="001821E9"/>
    <w:rsid w:val="0018334D"/>
    <w:rsid w:val="0018394B"/>
    <w:rsid w:val="00187ED3"/>
    <w:rsid w:val="00192096"/>
    <w:rsid w:val="00195125"/>
    <w:rsid w:val="001A0829"/>
    <w:rsid w:val="001A1161"/>
    <w:rsid w:val="001A137F"/>
    <w:rsid w:val="001A28D2"/>
    <w:rsid w:val="001A71B0"/>
    <w:rsid w:val="001B12D1"/>
    <w:rsid w:val="001B5D31"/>
    <w:rsid w:val="001C29B5"/>
    <w:rsid w:val="001C2CDF"/>
    <w:rsid w:val="001C3DE0"/>
    <w:rsid w:val="001C4657"/>
    <w:rsid w:val="001C5413"/>
    <w:rsid w:val="001C6C37"/>
    <w:rsid w:val="001D22AB"/>
    <w:rsid w:val="001E0FEF"/>
    <w:rsid w:val="001F0045"/>
    <w:rsid w:val="001F2151"/>
    <w:rsid w:val="001F6D54"/>
    <w:rsid w:val="002005C0"/>
    <w:rsid w:val="002018C6"/>
    <w:rsid w:val="00204E09"/>
    <w:rsid w:val="002074A0"/>
    <w:rsid w:val="002128EB"/>
    <w:rsid w:val="00213F39"/>
    <w:rsid w:val="0022020D"/>
    <w:rsid w:val="0022252C"/>
    <w:rsid w:val="0022482F"/>
    <w:rsid w:val="0022676F"/>
    <w:rsid w:val="002277D4"/>
    <w:rsid w:val="002305F6"/>
    <w:rsid w:val="00236D27"/>
    <w:rsid w:val="00241C38"/>
    <w:rsid w:val="00242AD3"/>
    <w:rsid w:val="0024307F"/>
    <w:rsid w:val="002431A7"/>
    <w:rsid w:val="002449B0"/>
    <w:rsid w:val="0025124F"/>
    <w:rsid w:val="00252995"/>
    <w:rsid w:val="00252CCC"/>
    <w:rsid w:val="00257D8B"/>
    <w:rsid w:val="00257F8C"/>
    <w:rsid w:val="00260C52"/>
    <w:rsid w:val="00265341"/>
    <w:rsid w:val="0027010F"/>
    <w:rsid w:val="00272942"/>
    <w:rsid w:val="00272DE2"/>
    <w:rsid w:val="00273D25"/>
    <w:rsid w:val="00281538"/>
    <w:rsid w:val="002819FF"/>
    <w:rsid w:val="00290675"/>
    <w:rsid w:val="00297D55"/>
    <w:rsid w:val="002A117A"/>
    <w:rsid w:val="002A2FD3"/>
    <w:rsid w:val="002B28FD"/>
    <w:rsid w:val="002B4B59"/>
    <w:rsid w:val="002C4B84"/>
    <w:rsid w:val="002C5370"/>
    <w:rsid w:val="002C60EB"/>
    <w:rsid w:val="002D65E7"/>
    <w:rsid w:val="002D6F5D"/>
    <w:rsid w:val="002E21D4"/>
    <w:rsid w:val="002E45AB"/>
    <w:rsid w:val="002E7138"/>
    <w:rsid w:val="002F3883"/>
    <w:rsid w:val="002F5940"/>
    <w:rsid w:val="003006BF"/>
    <w:rsid w:val="00306396"/>
    <w:rsid w:val="00306D40"/>
    <w:rsid w:val="0030796B"/>
    <w:rsid w:val="00314EF8"/>
    <w:rsid w:val="00323CC8"/>
    <w:rsid w:val="00324977"/>
    <w:rsid w:val="003268F8"/>
    <w:rsid w:val="00326D90"/>
    <w:rsid w:val="00333CB3"/>
    <w:rsid w:val="00343768"/>
    <w:rsid w:val="00353F1E"/>
    <w:rsid w:val="00356888"/>
    <w:rsid w:val="00361E27"/>
    <w:rsid w:val="00363111"/>
    <w:rsid w:val="003662BA"/>
    <w:rsid w:val="00373690"/>
    <w:rsid w:val="003751F0"/>
    <w:rsid w:val="0037783D"/>
    <w:rsid w:val="00391F84"/>
    <w:rsid w:val="003940E8"/>
    <w:rsid w:val="003A491F"/>
    <w:rsid w:val="003B2403"/>
    <w:rsid w:val="003B2CEC"/>
    <w:rsid w:val="003B40AD"/>
    <w:rsid w:val="003B4C82"/>
    <w:rsid w:val="003C02F5"/>
    <w:rsid w:val="003C1A5C"/>
    <w:rsid w:val="003C1F59"/>
    <w:rsid w:val="003C54DC"/>
    <w:rsid w:val="003D18E0"/>
    <w:rsid w:val="003D49CC"/>
    <w:rsid w:val="003D6F7C"/>
    <w:rsid w:val="003D7688"/>
    <w:rsid w:val="003D79E3"/>
    <w:rsid w:val="003E2B82"/>
    <w:rsid w:val="003E6D14"/>
    <w:rsid w:val="003F0CA5"/>
    <w:rsid w:val="003F4953"/>
    <w:rsid w:val="004018EA"/>
    <w:rsid w:val="00401CB0"/>
    <w:rsid w:val="00402A4D"/>
    <w:rsid w:val="00407F76"/>
    <w:rsid w:val="0041460C"/>
    <w:rsid w:val="00416E65"/>
    <w:rsid w:val="004176B0"/>
    <w:rsid w:val="00421C3D"/>
    <w:rsid w:val="00424F05"/>
    <w:rsid w:val="00425D75"/>
    <w:rsid w:val="00433DFE"/>
    <w:rsid w:val="0043526E"/>
    <w:rsid w:val="00437203"/>
    <w:rsid w:val="004507A2"/>
    <w:rsid w:val="0045450A"/>
    <w:rsid w:val="0045721B"/>
    <w:rsid w:val="00460D8E"/>
    <w:rsid w:val="004613FB"/>
    <w:rsid w:val="0046268F"/>
    <w:rsid w:val="00463B4A"/>
    <w:rsid w:val="004648E9"/>
    <w:rsid w:val="0046747A"/>
    <w:rsid w:val="004735B8"/>
    <w:rsid w:val="004757AD"/>
    <w:rsid w:val="0048083A"/>
    <w:rsid w:val="004829DE"/>
    <w:rsid w:val="0048331E"/>
    <w:rsid w:val="00490123"/>
    <w:rsid w:val="00493DFA"/>
    <w:rsid w:val="00495A8D"/>
    <w:rsid w:val="004967A7"/>
    <w:rsid w:val="00497728"/>
    <w:rsid w:val="004A0904"/>
    <w:rsid w:val="004A5458"/>
    <w:rsid w:val="004A5F70"/>
    <w:rsid w:val="004B2511"/>
    <w:rsid w:val="004B55CA"/>
    <w:rsid w:val="004B6268"/>
    <w:rsid w:val="004C5DA2"/>
    <w:rsid w:val="004D0346"/>
    <w:rsid w:val="004E51EE"/>
    <w:rsid w:val="004F0D8B"/>
    <w:rsid w:val="004F592B"/>
    <w:rsid w:val="005031F7"/>
    <w:rsid w:val="00507866"/>
    <w:rsid w:val="00507AC3"/>
    <w:rsid w:val="00510D43"/>
    <w:rsid w:val="0051713B"/>
    <w:rsid w:val="00517484"/>
    <w:rsid w:val="0052289F"/>
    <w:rsid w:val="005262B1"/>
    <w:rsid w:val="00526BF6"/>
    <w:rsid w:val="0054331E"/>
    <w:rsid w:val="0054500E"/>
    <w:rsid w:val="005454D0"/>
    <w:rsid w:val="005503BE"/>
    <w:rsid w:val="005654FD"/>
    <w:rsid w:val="005656B5"/>
    <w:rsid w:val="005663FE"/>
    <w:rsid w:val="005704D4"/>
    <w:rsid w:val="00572EE4"/>
    <w:rsid w:val="00574C2D"/>
    <w:rsid w:val="00577E23"/>
    <w:rsid w:val="00577E33"/>
    <w:rsid w:val="00582B67"/>
    <w:rsid w:val="005830F6"/>
    <w:rsid w:val="00586F43"/>
    <w:rsid w:val="00590AA8"/>
    <w:rsid w:val="00592FF8"/>
    <w:rsid w:val="005965F5"/>
    <w:rsid w:val="005A2EEA"/>
    <w:rsid w:val="005A4CAE"/>
    <w:rsid w:val="005B3C0C"/>
    <w:rsid w:val="005C1848"/>
    <w:rsid w:val="005C6720"/>
    <w:rsid w:val="005D43E5"/>
    <w:rsid w:val="005E25F6"/>
    <w:rsid w:val="005E583F"/>
    <w:rsid w:val="005E701B"/>
    <w:rsid w:val="005F2103"/>
    <w:rsid w:val="005F22A1"/>
    <w:rsid w:val="005F5D25"/>
    <w:rsid w:val="005F64D6"/>
    <w:rsid w:val="006011F4"/>
    <w:rsid w:val="00603C4C"/>
    <w:rsid w:val="0061270C"/>
    <w:rsid w:val="006135A6"/>
    <w:rsid w:val="00613F2C"/>
    <w:rsid w:val="00620E21"/>
    <w:rsid w:val="0062111B"/>
    <w:rsid w:val="00622FA3"/>
    <w:rsid w:val="00627187"/>
    <w:rsid w:val="00631267"/>
    <w:rsid w:val="00632E01"/>
    <w:rsid w:val="00640F6F"/>
    <w:rsid w:val="00642D99"/>
    <w:rsid w:val="00643D01"/>
    <w:rsid w:val="00646AD1"/>
    <w:rsid w:val="006501AD"/>
    <w:rsid w:val="00653F44"/>
    <w:rsid w:val="00657452"/>
    <w:rsid w:val="00657990"/>
    <w:rsid w:val="006641DC"/>
    <w:rsid w:val="0066489B"/>
    <w:rsid w:val="006661FB"/>
    <w:rsid w:val="00671458"/>
    <w:rsid w:val="00673472"/>
    <w:rsid w:val="00673FF2"/>
    <w:rsid w:val="00680122"/>
    <w:rsid w:val="00686098"/>
    <w:rsid w:val="0069154C"/>
    <w:rsid w:val="00694686"/>
    <w:rsid w:val="0069749E"/>
    <w:rsid w:val="00697A35"/>
    <w:rsid w:val="006A01DA"/>
    <w:rsid w:val="006A26EE"/>
    <w:rsid w:val="006B32E2"/>
    <w:rsid w:val="006C194C"/>
    <w:rsid w:val="006C2BD9"/>
    <w:rsid w:val="006C5B93"/>
    <w:rsid w:val="006C5D1D"/>
    <w:rsid w:val="006C6004"/>
    <w:rsid w:val="006C659C"/>
    <w:rsid w:val="006D093C"/>
    <w:rsid w:val="006D0C9A"/>
    <w:rsid w:val="006D49C8"/>
    <w:rsid w:val="006D6A0B"/>
    <w:rsid w:val="006D7FF6"/>
    <w:rsid w:val="006E2065"/>
    <w:rsid w:val="006E2A79"/>
    <w:rsid w:val="00705BE5"/>
    <w:rsid w:val="007110E9"/>
    <w:rsid w:val="00714709"/>
    <w:rsid w:val="00714B2B"/>
    <w:rsid w:val="00726AAC"/>
    <w:rsid w:val="00735F14"/>
    <w:rsid w:val="00740E54"/>
    <w:rsid w:val="007420EA"/>
    <w:rsid w:val="007435A5"/>
    <w:rsid w:val="00744426"/>
    <w:rsid w:val="0075014A"/>
    <w:rsid w:val="0075767E"/>
    <w:rsid w:val="00763B44"/>
    <w:rsid w:val="00765216"/>
    <w:rsid w:val="007663E1"/>
    <w:rsid w:val="007734A5"/>
    <w:rsid w:val="007740FC"/>
    <w:rsid w:val="007759D2"/>
    <w:rsid w:val="00780C6C"/>
    <w:rsid w:val="00781C34"/>
    <w:rsid w:val="007823AA"/>
    <w:rsid w:val="00787A68"/>
    <w:rsid w:val="00790732"/>
    <w:rsid w:val="00790ACD"/>
    <w:rsid w:val="00792116"/>
    <w:rsid w:val="007A1259"/>
    <w:rsid w:val="007A4AA7"/>
    <w:rsid w:val="007A6AFC"/>
    <w:rsid w:val="007B04D4"/>
    <w:rsid w:val="007B240A"/>
    <w:rsid w:val="007B2500"/>
    <w:rsid w:val="007B31B1"/>
    <w:rsid w:val="007B38C7"/>
    <w:rsid w:val="007E0043"/>
    <w:rsid w:val="007E7880"/>
    <w:rsid w:val="007F7065"/>
    <w:rsid w:val="008009B3"/>
    <w:rsid w:val="008055AB"/>
    <w:rsid w:val="00807430"/>
    <w:rsid w:val="00810D2D"/>
    <w:rsid w:val="008116F9"/>
    <w:rsid w:val="008131C6"/>
    <w:rsid w:val="0081355A"/>
    <w:rsid w:val="00814A80"/>
    <w:rsid w:val="00823319"/>
    <w:rsid w:val="00823320"/>
    <w:rsid w:val="00825C38"/>
    <w:rsid w:val="0083088C"/>
    <w:rsid w:val="00831C2E"/>
    <w:rsid w:val="00834384"/>
    <w:rsid w:val="00842BB9"/>
    <w:rsid w:val="00843105"/>
    <w:rsid w:val="00846182"/>
    <w:rsid w:val="008470A8"/>
    <w:rsid w:val="008537D1"/>
    <w:rsid w:val="00854310"/>
    <w:rsid w:val="00861172"/>
    <w:rsid w:val="00861826"/>
    <w:rsid w:val="00867F15"/>
    <w:rsid w:val="00872C75"/>
    <w:rsid w:val="008744C6"/>
    <w:rsid w:val="0088254B"/>
    <w:rsid w:val="00883A4C"/>
    <w:rsid w:val="00885B2A"/>
    <w:rsid w:val="00895298"/>
    <w:rsid w:val="00897CB4"/>
    <w:rsid w:val="00897DDD"/>
    <w:rsid w:val="008A1DD9"/>
    <w:rsid w:val="008A54AE"/>
    <w:rsid w:val="008B6362"/>
    <w:rsid w:val="008C20FF"/>
    <w:rsid w:val="008C38A9"/>
    <w:rsid w:val="008C59AB"/>
    <w:rsid w:val="008C636E"/>
    <w:rsid w:val="008C6CD0"/>
    <w:rsid w:val="008D144A"/>
    <w:rsid w:val="008D47FA"/>
    <w:rsid w:val="008E03A3"/>
    <w:rsid w:val="008E2666"/>
    <w:rsid w:val="008E479B"/>
    <w:rsid w:val="008F22C0"/>
    <w:rsid w:val="008F3B22"/>
    <w:rsid w:val="008F3BB1"/>
    <w:rsid w:val="008F7886"/>
    <w:rsid w:val="0090006B"/>
    <w:rsid w:val="00900A1E"/>
    <w:rsid w:val="00900CB0"/>
    <w:rsid w:val="0090248C"/>
    <w:rsid w:val="00921C7F"/>
    <w:rsid w:val="00926653"/>
    <w:rsid w:val="00933EA0"/>
    <w:rsid w:val="0093503A"/>
    <w:rsid w:val="00935521"/>
    <w:rsid w:val="00935B49"/>
    <w:rsid w:val="009508AA"/>
    <w:rsid w:val="00956C21"/>
    <w:rsid w:val="00956DD7"/>
    <w:rsid w:val="0095718D"/>
    <w:rsid w:val="009636AA"/>
    <w:rsid w:val="0096402B"/>
    <w:rsid w:val="0096627C"/>
    <w:rsid w:val="00967D91"/>
    <w:rsid w:val="0097176B"/>
    <w:rsid w:val="0097416F"/>
    <w:rsid w:val="00974354"/>
    <w:rsid w:val="00974F6F"/>
    <w:rsid w:val="00975A0D"/>
    <w:rsid w:val="00977618"/>
    <w:rsid w:val="00977C39"/>
    <w:rsid w:val="009805D8"/>
    <w:rsid w:val="0098094B"/>
    <w:rsid w:val="009867FA"/>
    <w:rsid w:val="0099121F"/>
    <w:rsid w:val="0099311D"/>
    <w:rsid w:val="009932BB"/>
    <w:rsid w:val="00994BA4"/>
    <w:rsid w:val="0099782C"/>
    <w:rsid w:val="009A2068"/>
    <w:rsid w:val="009A3796"/>
    <w:rsid w:val="009A3C93"/>
    <w:rsid w:val="009A4355"/>
    <w:rsid w:val="009A5EA4"/>
    <w:rsid w:val="009A7E42"/>
    <w:rsid w:val="009A7EBF"/>
    <w:rsid w:val="009B1A39"/>
    <w:rsid w:val="009B3134"/>
    <w:rsid w:val="009B4AAA"/>
    <w:rsid w:val="009C5554"/>
    <w:rsid w:val="009C7BEC"/>
    <w:rsid w:val="009D28EE"/>
    <w:rsid w:val="009D7455"/>
    <w:rsid w:val="009E04EE"/>
    <w:rsid w:val="009E092D"/>
    <w:rsid w:val="009E23B7"/>
    <w:rsid w:val="009E6FC4"/>
    <w:rsid w:val="009F24CD"/>
    <w:rsid w:val="009F2557"/>
    <w:rsid w:val="009F4A1C"/>
    <w:rsid w:val="009F690C"/>
    <w:rsid w:val="00A018BE"/>
    <w:rsid w:val="00A01E4C"/>
    <w:rsid w:val="00A029A2"/>
    <w:rsid w:val="00A04522"/>
    <w:rsid w:val="00A1009A"/>
    <w:rsid w:val="00A13751"/>
    <w:rsid w:val="00A243D2"/>
    <w:rsid w:val="00A26A55"/>
    <w:rsid w:val="00A3160F"/>
    <w:rsid w:val="00A3438E"/>
    <w:rsid w:val="00A430E8"/>
    <w:rsid w:val="00A43C72"/>
    <w:rsid w:val="00A4534D"/>
    <w:rsid w:val="00A46D35"/>
    <w:rsid w:val="00A47187"/>
    <w:rsid w:val="00A5232B"/>
    <w:rsid w:val="00A5383D"/>
    <w:rsid w:val="00A67355"/>
    <w:rsid w:val="00A67F6C"/>
    <w:rsid w:val="00A70F72"/>
    <w:rsid w:val="00A73D1D"/>
    <w:rsid w:val="00A74F5E"/>
    <w:rsid w:val="00A76CCA"/>
    <w:rsid w:val="00A814A4"/>
    <w:rsid w:val="00A8417D"/>
    <w:rsid w:val="00A90E3B"/>
    <w:rsid w:val="00A91988"/>
    <w:rsid w:val="00A95293"/>
    <w:rsid w:val="00A96125"/>
    <w:rsid w:val="00AA038B"/>
    <w:rsid w:val="00AA10FB"/>
    <w:rsid w:val="00AA27E4"/>
    <w:rsid w:val="00AA2D1B"/>
    <w:rsid w:val="00AA5BAC"/>
    <w:rsid w:val="00AB1DC8"/>
    <w:rsid w:val="00AB24EB"/>
    <w:rsid w:val="00AB3528"/>
    <w:rsid w:val="00AB3756"/>
    <w:rsid w:val="00AB40A3"/>
    <w:rsid w:val="00AB510E"/>
    <w:rsid w:val="00AC116D"/>
    <w:rsid w:val="00AD1903"/>
    <w:rsid w:val="00AD319D"/>
    <w:rsid w:val="00AD4EB4"/>
    <w:rsid w:val="00AE4C4E"/>
    <w:rsid w:val="00B10F9C"/>
    <w:rsid w:val="00B140E5"/>
    <w:rsid w:val="00B14253"/>
    <w:rsid w:val="00B1438F"/>
    <w:rsid w:val="00B2026B"/>
    <w:rsid w:val="00B27EA9"/>
    <w:rsid w:val="00B3158E"/>
    <w:rsid w:val="00B3486E"/>
    <w:rsid w:val="00B35D1D"/>
    <w:rsid w:val="00B37506"/>
    <w:rsid w:val="00B37DC1"/>
    <w:rsid w:val="00B51A43"/>
    <w:rsid w:val="00B52FF3"/>
    <w:rsid w:val="00B65189"/>
    <w:rsid w:val="00B65DB9"/>
    <w:rsid w:val="00B66BE9"/>
    <w:rsid w:val="00B67435"/>
    <w:rsid w:val="00B727F3"/>
    <w:rsid w:val="00B801AD"/>
    <w:rsid w:val="00B846DA"/>
    <w:rsid w:val="00B859F2"/>
    <w:rsid w:val="00B87095"/>
    <w:rsid w:val="00B87502"/>
    <w:rsid w:val="00B931E9"/>
    <w:rsid w:val="00B94CD7"/>
    <w:rsid w:val="00BA1F1D"/>
    <w:rsid w:val="00BA1F5F"/>
    <w:rsid w:val="00BA3444"/>
    <w:rsid w:val="00BA4327"/>
    <w:rsid w:val="00BC07B3"/>
    <w:rsid w:val="00BC18F0"/>
    <w:rsid w:val="00BC2ED4"/>
    <w:rsid w:val="00BC5375"/>
    <w:rsid w:val="00BD324C"/>
    <w:rsid w:val="00BD67DD"/>
    <w:rsid w:val="00BE128B"/>
    <w:rsid w:val="00BE4EF4"/>
    <w:rsid w:val="00BE6573"/>
    <w:rsid w:val="00BF0F97"/>
    <w:rsid w:val="00BF5865"/>
    <w:rsid w:val="00C026BB"/>
    <w:rsid w:val="00C047CE"/>
    <w:rsid w:val="00C1374D"/>
    <w:rsid w:val="00C26DBF"/>
    <w:rsid w:val="00C31CD7"/>
    <w:rsid w:val="00C320F7"/>
    <w:rsid w:val="00C4333B"/>
    <w:rsid w:val="00C44341"/>
    <w:rsid w:val="00C451AE"/>
    <w:rsid w:val="00C45C33"/>
    <w:rsid w:val="00C46CBD"/>
    <w:rsid w:val="00C478BF"/>
    <w:rsid w:val="00C54156"/>
    <w:rsid w:val="00C55697"/>
    <w:rsid w:val="00C57FDD"/>
    <w:rsid w:val="00C60AAA"/>
    <w:rsid w:val="00C60F43"/>
    <w:rsid w:val="00C64E5C"/>
    <w:rsid w:val="00C721C1"/>
    <w:rsid w:val="00C737DB"/>
    <w:rsid w:val="00C80E67"/>
    <w:rsid w:val="00C81B26"/>
    <w:rsid w:val="00C81B9C"/>
    <w:rsid w:val="00C91411"/>
    <w:rsid w:val="00C91965"/>
    <w:rsid w:val="00C93568"/>
    <w:rsid w:val="00C9362E"/>
    <w:rsid w:val="00C9376C"/>
    <w:rsid w:val="00C94628"/>
    <w:rsid w:val="00C97544"/>
    <w:rsid w:val="00CA1887"/>
    <w:rsid w:val="00CA527F"/>
    <w:rsid w:val="00CA5BFB"/>
    <w:rsid w:val="00CA7987"/>
    <w:rsid w:val="00CB228E"/>
    <w:rsid w:val="00CB3365"/>
    <w:rsid w:val="00CB59C0"/>
    <w:rsid w:val="00CC0BCB"/>
    <w:rsid w:val="00CC1017"/>
    <w:rsid w:val="00CC2294"/>
    <w:rsid w:val="00CC4523"/>
    <w:rsid w:val="00CC7383"/>
    <w:rsid w:val="00CD2A98"/>
    <w:rsid w:val="00CE120D"/>
    <w:rsid w:val="00CE3EC8"/>
    <w:rsid w:val="00CE6F5E"/>
    <w:rsid w:val="00CE72F6"/>
    <w:rsid w:val="00CF07A5"/>
    <w:rsid w:val="00CF381D"/>
    <w:rsid w:val="00CF54B0"/>
    <w:rsid w:val="00CF71D7"/>
    <w:rsid w:val="00CF71F7"/>
    <w:rsid w:val="00CF77F4"/>
    <w:rsid w:val="00D018AC"/>
    <w:rsid w:val="00D02695"/>
    <w:rsid w:val="00D11D85"/>
    <w:rsid w:val="00D12625"/>
    <w:rsid w:val="00D13DF0"/>
    <w:rsid w:val="00D22606"/>
    <w:rsid w:val="00D31409"/>
    <w:rsid w:val="00D34465"/>
    <w:rsid w:val="00D409A3"/>
    <w:rsid w:val="00D44A8F"/>
    <w:rsid w:val="00D52E85"/>
    <w:rsid w:val="00D54840"/>
    <w:rsid w:val="00D54E48"/>
    <w:rsid w:val="00D57121"/>
    <w:rsid w:val="00D631DE"/>
    <w:rsid w:val="00D71A9B"/>
    <w:rsid w:val="00D74639"/>
    <w:rsid w:val="00D810D0"/>
    <w:rsid w:val="00D938B6"/>
    <w:rsid w:val="00DA6AAA"/>
    <w:rsid w:val="00DB08A7"/>
    <w:rsid w:val="00DB7A22"/>
    <w:rsid w:val="00DC0543"/>
    <w:rsid w:val="00DC0916"/>
    <w:rsid w:val="00DC6B4F"/>
    <w:rsid w:val="00DC7E2D"/>
    <w:rsid w:val="00DD6F0A"/>
    <w:rsid w:val="00DE0516"/>
    <w:rsid w:val="00DE098D"/>
    <w:rsid w:val="00DE2DA3"/>
    <w:rsid w:val="00DE3BCA"/>
    <w:rsid w:val="00DE4D5B"/>
    <w:rsid w:val="00DF4B60"/>
    <w:rsid w:val="00DF4E1A"/>
    <w:rsid w:val="00E03C2B"/>
    <w:rsid w:val="00E042DD"/>
    <w:rsid w:val="00E05299"/>
    <w:rsid w:val="00E10E51"/>
    <w:rsid w:val="00E13471"/>
    <w:rsid w:val="00E14CE9"/>
    <w:rsid w:val="00E25279"/>
    <w:rsid w:val="00E268EA"/>
    <w:rsid w:val="00E32606"/>
    <w:rsid w:val="00E4067F"/>
    <w:rsid w:val="00E430E9"/>
    <w:rsid w:val="00E43355"/>
    <w:rsid w:val="00E43A1B"/>
    <w:rsid w:val="00E5082A"/>
    <w:rsid w:val="00E51E97"/>
    <w:rsid w:val="00E524E7"/>
    <w:rsid w:val="00E530DD"/>
    <w:rsid w:val="00E53BCA"/>
    <w:rsid w:val="00E665EA"/>
    <w:rsid w:val="00E66EDF"/>
    <w:rsid w:val="00E67590"/>
    <w:rsid w:val="00E7523D"/>
    <w:rsid w:val="00E752AF"/>
    <w:rsid w:val="00E75987"/>
    <w:rsid w:val="00E75D94"/>
    <w:rsid w:val="00E86A58"/>
    <w:rsid w:val="00E904A0"/>
    <w:rsid w:val="00E90F07"/>
    <w:rsid w:val="00E9103B"/>
    <w:rsid w:val="00E920AF"/>
    <w:rsid w:val="00E960B0"/>
    <w:rsid w:val="00EA02CB"/>
    <w:rsid w:val="00EA16EB"/>
    <w:rsid w:val="00EA19A1"/>
    <w:rsid w:val="00EA4E77"/>
    <w:rsid w:val="00EB0AE4"/>
    <w:rsid w:val="00EB370B"/>
    <w:rsid w:val="00EC0522"/>
    <w:rsid w:val="00EC4AD0"/>
    <w:rsid w:val="00EC4F0E"/>
    <w:rsid w:val="00EC6301"/>
    <w:rsid w:val="00EC74F3"/>
    <w:rsid w:val="00ED6A22"/>
    <w:rsid w:val="00EE4C15"/>
    <w:rsid w:val="00EE7B3A"/>
    <w:rsid w:val="00EF2320"/>
    <w:rsid w:val="00EF4980"/>
    <w:rsid w:val="00EF67D1"/>
    <w:rsid w:val="00F01697"/>
    <w:rsid w:val="00F02F56"/>
    <w:rsid w:val="00F04951"/>
    <w:rsid w:val="00F0696C"/>
    <w:rsid w:val="00F07A88"/>
    <w:rsid w:val="00F20071"/>
    <w:rsid w:val="00F27476"/>
    <w:rsid w:val="00F345C5"/>
    <w:rsid w:val="00F379AE"/>
    <w:rsid w:val="00F44AAE"/>
    <w:rsid w:val="00F504D0"/>
    <w:rsid w:val="00F53438"/>
    <w:rsid w:val="00F54C6E"/>
    <w:rsid w:val="00F608D6"/>
    <w:rsid w:val="00F60A67"/>
    <w:rsid w:val="00F61074"/>
    <w:rsid w:val="00F62D93"/>
    <w:rsid w:val="00F66544"/>
    <w:rsid w:val="00F6673A"/>
    <w:rsid w:val="00F6683D"/>
    <w:rsid w:val="00F70BE9"/>
    <w:rsid w:val="00F75BF0"/>
    <w:rsid w:val="00F80300"/>
    <w:rsid w:val="00F82978"/>
    <w:rsid w:val="00F82D5C"/>
    <w:rsid w:val="00F91EBA"/>
    <w:rsid w:val="00F97BAA"/>
    <w:rsid w:val="00FA03EF"/>
    <w:rsid w:val="00FA096C"/>
    <w:rsid w:val="00FA12BC"/>
    <w:rsid w:val="00FA487B"/>
    <w:rsid w:val="00FA4FF8"/>
    <w:rsid w:val="00FA57E7"/>
    <w:rsid w:val="00FA5F52"/>
    <w:rsid w:val="00FA6308"/>
    <w:rsid w:val="00FA6368"/>
    <w:rsid w:val="00FB1EA9"/>
    <w:rsid w:val="00FB5108"/>
    <w:rsid w:val="00FC02F7"/>
    <w:rsid w:val="00FC043E"/>
    <w:rsid w:val="00FC2163"/>
    <w:rsid w:val="00FC3FB9"/>
    <w:rsid w:val="00FC777C"/>
    <w:rsid w:val="00FD02B5"/>
    <w:rsid w:val="00FD3632"/>
    <w:rsid w:val="00FD5911"/>
    <w:rsid w:val="00FE1D0E"/>
    <w:rsid w:val="00FE74F1"/>
    <w:rsid w:val="00FF0A16"/>
    <w:rsid w:val="00FF541E"/>
    <w:rsid w:val="00FF6CA2"/>
    <w:rsid w:val="00FF71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6B725"/>
  <w15:docId w15:val="{63F02F61-AE15-4036-95C8-FDC5FFDB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3FE"/>
    <w:rPr>
      <w:rFonts w:ascii="Aptos" w:hAnsi="Aptos"/>
      <w:sz w:val="24"/>
      <w:lang w:eastAsia="en-GB"/>
    </w:rPr>
  </w:style>
  <w:style w:type="paragraph" w:styleId="Heading1">
    <w:name w:val="heading 1"/>
    <w:basedOn w:val="GWBaseHeadings"/>
    <w:next w:val="BodyText"/>
    <w:qFormat/>
    <w:rsid w:val="00BD67DD"/>
    <w:pPr>
      <w:spacing w:after="240"/>
      <w:outlineLvl w:val="0"/>
    </w:pPr>
    <w:rPr>
      <w:b/>
      <w:sz w:val="30"/>
    </w:rPr>
  </w:style>
  <w:style w:type="paragraph" w:styleId="Heading2">
    <w:name w:val="heading 2"/>
    <w:basedOn w:val="GWBaseHeadings"/>
    <w:next w:val="BodyText"/>
    <w:qFormat/>
    <w:rsid w:val="00BD67DD"/>
    <w:pPr>
      <w:spacing w:after="60"/>
      <w:outlineLvl w:val="1"/>
    </w:pPr>
    <w:rPr>
      <w:b/>
      <w:sz w:val="28"/>
    </w:rPr>
  </w:style>
  <w:style w:type="paragraph" w:styleId="Heading3">
    <w:name w:val="heading 3"/>
    <w:basedOn w:val="GWBaseHeadings"/>
    <w:next w:val="BodyText"/>
    <w:qFormat/>
    <w:rsid w:val="00BD67DD"/>
    <w:pPr>
      <w:spacing w:after="60"/>
      <w:outlineLvl w:val="2"/>
    </w:pPr>
    <w:rPr>
      <w:b/>
      <w:sz w:val="26"/>
    </w:rPr>
  </w:style>
  <w:style w:type="paragraph" w:styleId="Heading4">
    <w:name w:val="heading 4"/>
    <w:basedOn w:val="GWBaseHeadings"/>
    <w:next w:val="BodyText"/>
    <w:link w:val="Heading4Char"/>
    <w:qFormat/>
    <w:rsid w:val="00BD67DD"/>
    <w:pPr>
      <w:spacing w:after="60"/>
      <w:outlineLvl w:val="3"/>
    </w:pPr>
    <w:rPr>
      <w:sz w:val="26"/>
    </w:rPr>
  </w:style>
  <w:style w:type="paragraph" w:styleId="Heading5">
    <w:name w:val="heading 5"/>
    <w:basedOn w:val="GWBaseHeadings"/>
    <w:next w:val="BodyText"/>
    <w:link w:val="Heading5Char"/>
    <w:qFormat/>
    <w:rsid w:val="00BD67DD"/>
    <w:pPr>
      <w:spacing w:after="60"/>
      <w:outlineLvl w:val="4"/>
    </w:pPr>
    <w:rPr>
      <w:i/>
      <w:sz w:val="26"/>
    </w:rPr>
  </w:style>
  <w:style w:type="paragraph" w:styleId="Heading6">
    <w:name w:val="heading 6"/>
    <w:basedOn w:val="Normal"/>
    <w:link w:val="Heading6Char"/>
    <w:qFormat/>
    <w:rsid w:val="00F60A67"/>
    <w:pPr>
      <w:outlineLvl w:val="5"/>
    </w:pPr>
  </w:style>
  <w:style w:type="paragraph" w:styleId="Heading7">
    <w:name w:val="heading 7"/>
    <w:basedOn w:val="Normal"/>
    <w:next w:val="Normal"/>
    <w:link w:val="Heading7Char"/>
    <w:qFormat/>
    <w:rsid w:val="00F60A67"/>
    <w:pPr>
      <w:outlineLvl w:val="6"/>
    </w:pPr>
  </w:style>
  <w:style w:type="paragraph" w:styleId="Heading8">
    <w:name w:val="heading 8"/>
    <w:basedOn w:val="Normal"/>
    <w:next w:val="Normal"/>
    <w:link w:val="Heading8Char"/>
    <w:qFormat/>
    <w:rsid w:val="00F60A67"/>
    <w:pPr>
      <w:outlineLvl w:val="7"/>
    </w:pPr>
  </w:style>
  <w:style w:type="paragraph" w:styleId="Heading9">
    <w:name w:val="heading 9"/>
    <w:basedOn w:val="Normal"/>
    <w:next w:val="Normal"/>
    <w:link w:val="Heading9Char"/>
    <w:qFormat/>
    <w:rsid w:val="00F60A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semiHidden/>
    <w:rsid w:val="00810D2D"/>
    <w:pPr>
      <w:keepLines/>
      <w:spacing w:after="220" w:line="220" w:lineRule="atLeast"/>
      <w:ind w:left="360" w:hanging="360"/>
    </w:pPr>
    <w:rPr>
      <w:lang w:val="en-GB"/>
    </w:rPr>
  </w:style>
  <w:style w:type="paragraph" w:styleId="BodyText">
    <w:name w:val="Body Text"/>
    <w:basedOn w:val="Normal"/>
    <w:link w:val="BodyTextChar"/>
    <w:qFormat/>
    <w:rsid w:val="00DC6B4F"/>
    <w:pPr>
      <w:spacing w:after="240"/>
    </w:p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numPr>
        <w:numId w:val="1"/>
      </w:numPr>
      <w:tabs>
        <w:tab w:val="clear" w:pos="493"/>
        <w:tab w:val="num" w:pos="360"/>
      </w:tabs>
      <w:spacing w:before="240" w:line="260" w:lineRule="exact"/>
      <w:ind w:left="0" w:firstLine="0"/>
    </w:pPr>
    <w:rPr>
      <w:kern w:val="22"/>
    </w:rPr>
  </w:style>
  <w:style w:type="paragraph" w:customStyle="1" w:styleId="ReportBody">
    <w:name w:val="Report Body"/>
    <w:basedOn w:val="Normal"/>
    <w:semiHidden/>
    <w:rsid w:val="00E13471"/>
    <w:pPr>
      <w:numPr>
        <w:numId w:val="2"/>
      </w:numPr>
      <w:spacing w:before="240" w:line="260" w:lineRule="exact"/>
    </w:pPr>
    <w:rPr>
      <w:color w:val="000000"/>
      <w:kern w:val="22"/>
    </w:rPr>
  </w:style>
  <w:style w:type="paragraph" w:styleId="Footer">
    <w:name w:val="footer"/>
    <w:basedOn w:val="Normal"/>
    <w:rsid w:val="00F60A67"/>
    <w:pPr>
      <w:tabs>
        <w:tab w:val="center" w:pos="4153"/>
        <w:tab w:val="right" w:pos="8306"/>
      </w:tabs>
    </w:pPr>
  </w:style>
  <w:style w:type="paragraph" w:styleId="Header">
    <w:name w:val="header"/>
    <w:basedOn w:val="Normal"/>
    <w:rsid w:val="00F60A67"/>
    <w:pPr>
      <w:tabs>
        <w:tab w:val="right" w:pos="9333"/>
      </w:tabs>
    </w:pPr>
  </w:style>
  <w:style w:type="paragraph" w:styleId="ListBullet">
    <w:name w:val="List Bullet"/>
    <w:basedOn w:val="Normal"/>
    <w:autoRedefine/>
    <w:rsid w:val="00810D2D"/>
    <w:pPr>
      <w:numPr>
        <w:numId w:val="3"/>
      </w:numPr>
      <w:spacing w:before="120"/>
    </w:pPr>
  </w:style>
  <w:style w:type="paragraph" w:styleId="ListBullet2">
    <w:name w:val="List Bullet 2"/>
    <w:basedOn w:val="Normal"/>
    <w:autoRedefine/>
    <w:rsid w:val="00810D2D"/>
    <w:pPr>
      <w:numPr>
        <w:numId w:val="4"/>
      </w:numPr>
      <w:spacing w:before="120"/>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lang w:val="en-GB"/>
    </w:rPr>
  </w:style>
  <w:style w:type="character" w:customStyle="1" w:styleId="BodyTextChar">
    <w:name w:val="Body Text Char"/>
    <w:basedOn w:val="DefaultParagraphFont"/>
    <w:link w:val="BodyText"/>
    <w:rsid w:val="00DC6B4F"/>
    <w:rPr>
      <w:rFonts w:ascii="Aptos" w:hAnsi="Aptos"/>
      <w:sz w:val="24"/>
      <w:lang w:eastAsia="en-GB"/>
    </w:rPr>
  </w:style>
  <w:style w:type="paragraph" w:customStyle="1" w:styleId="GWFooter">
    <w:name w:val="GW Footer"/>
    <w:basedOn w:val="Normal"/>
    <w:rsid w:val="00BD67DD"/>
    <w:pPr>
      <w:tabs>
        <w:tab w:val="center" w:pos="4848"/>
        <w:tab w:val="right" w:pos="9639"/>
      </w:tabs>
    </w:pPr>
    <w:rPr>
      <w:sz w:val="16"/>
    </w:rPr>
  </w:style>
  <w:style w:type="paragraph" w:styleId="Date">
    <w:name w:val="Date"/>
    <w:basedOn w:val="BodyText"/>
    <w:next w:val="BodyText"/>
    <w:link w:val="DateChar"/>
    <w:rsid w:val="00F60A67"/>
    <w:pPr>
      <w:tabs>
        <w:tab w:val="left" w:pos="3686"/>
      </w:tabs>
      <w:spacing w:after="454"/>
    </w:pPr>
  </w:style>
  <w:style w:type="character" w:customStyle="1" w:styleId="DateChar">
    <w:name w:val="Date Char"/>
    <w:basedOn w:val="DefaultParagraphFont"/>
    <w:link w:val="Date"/>
    <w:rsid w:val="00F60A67"/>
    <w:rPr>
      <w:sz w:val="24"/>
      <w:lang w:eastAsia="en-GB"/>
    </w:rPr>
  </w:style>
  <w:style w:type="paragraph" w:styleId="FootnoteText">
    <w:name w:val="footnote text"/>
    <w:basedOn w:val="Normal"/>
    <w:link w:val="FootnoteTextChar"/>
    <w:uiPriority w:val="99"/>
    <w:semiHidden/>
    <w:rsid w:val="00F60A67"/>
    <w:rPr>
      <w:rFonts w:ascii="Arial Narrow" w:hAnsi="Arial Narrow"/>
      <w:sz w:val="16"/>
    </w:rPr>
  </w:style>
  <w:style w:type="character" w:customStyle="1" w:styleId="FootnoteTextChar">
    <w:name w:val="Footnote Text Char"/>
    <w:basedOn w:val="DefaultParagraphFont"/>
    <w:link w:val="FootnoteText"/>
    <w:uiPriority w:val="99"/>
    <w:semiHidden/>
    <w:rsid w:val="00F60A67"/>
    <w:rPr>
      <w:rFonts w:ascii="Arial Narrow" w:hAnsi="Arial Narrow"/>
      <w:sz w:val="16"/>
      <w:lang w:eastAsia="en-GB"/>
    </w:rPr>
  </w:style>
  <w:style w:type="paragraph" w:customStyle="1" w:styleId="GWAddressDetails">
    <w:name w:val="GW Address Details"/>
    <w:rsid w:val="00A1009A"/>
    <w:pPr>
      <w:jc w:val="right"/>
    </w:pPr>
    <w:rPr>
      <w:rFonts w:ascii="Aptos" w:hAnsi="Aptos"/>
      <w:noProof/>
      <w:sz w:val="18"/>
      <w:lang w:val="en-GB" w:eastAsia="en-GB"/>
    </w:rPr>
  </w:style>
  <w:style w:type="paragraph" w:customStyle="1" w:styleId="GWBaseHeadings">
    <w:name w:val="GW Base Headings"/>
    <w:next w:val="BodyText"/>
    <w:rsid w:val="00A1009A"/>
    <w:pPr>
      <w:keepNext/>
    </w:pPr>
    <w:rPr>
      <w:rFonts w:ascii="Aptos" w:hAnsi="Aptos"/>
      <w:sz w:val="24"/>
      <w:lang w:eastAsia="en-GB"/>
    </w:rPr>
  </w:style>
  <w:style w:type="paragraph" w:customStyle="1" w:styleId="GWBullet1">
    <w:name w:val="GW Bullet 1"/>
    <w:basedOn w:val="BodyText"/>
    <w:qFormat/>
    <w:rsid w:val="00F60A67"/>
    <w:pPr>
      <w:numPr>
        <w:numId w:val="5"/>
      </w:numPr>
      <w:spacing w:after="0"/>
    </w:pPr>
  </w:style>
  <w:style w:type="paragraph" w:customStyle="1" w:styleId="GWBullet2">
    <w:name w:val="GW Bullet 2"/>
    <w:basedOn w:val="BodyText"/>
    <w:qFormat/>
    <w:rsid w:val="00854310"/>
    <w:pPr>
      <w:numPr>
        <w:numId w:val="6"/>
      </w:numPr>
      <w:tabs>
        <w:tab w:val="clear" w:pos="454"/>
        <w:tab w:val="left" w:pos="425"/>
      </w:tabs>
      <w:ind w:left="425" w:hanging="425"/>
    </w:pPr>
  </w:style>
  <w:style w:type="paragraph" w:customStyle="1" w:styleId="GWBullet3">
    <w:name w:val="GW Bullet 3"/>
    <w:basedOn w:val="BodyText"/>
    <w:qFormat/>
    <w:rsid w:val="00F60A67"/>
    <w:pPr>
      <w:numPr>
        <w:numId w:val="7"/>
      </w:numPr>
      <w:spacing w:after="0"/>
    </w:pPr>
  </w:style>
  <w:style w:type="paragraph" w:customStyle="1" w:styleId="GWBullet4">
    <w:name w:val="GW Bullet 4"/>
    <w:basedOn w:val="BodyText"/>
    <w:qFormat/>
    <w:rsid w:val="00A1009A"/>
    <w:pPr>
      <w:numPr>
        <w:numId w:val="8"/>
      </w:numPr>
      <w:tabs>
        <w:tab w:val="clear" w:pos="907"/>
        <w:tab w:val="left" w:pos="851"/>
      </w:tabs>
      <w:ind w:left="850" w:hanging="425"/>
    </w:pPr>
  </w:style>
  <w:style w:type="paragraph" w:customStyle="1" w:styleId="GWContactDetails">
    <w:name w:val="GW Contact Details"/>
    <w:basedOn w:val="Normal"/>
    <w:rsid w:val="00F60A67"/>
    <w:pPr>
      <w:spacing w:after="227"/>
    </w:pPr>
  </w:style>
  <w:style w:type="paragraph" w:customStyle="1" w:styleId="GWContactHeadings">
    <w:name w:val="GW Contact Headings"/>
    <w:basedOn w:val="Normal"/>
    <w:rsid w:val="00BD67DD"/>
    <w:pPr>
      <w:spacing w:after="227" w:line="250" w:lineRule="exact"/>
    </w:pPr>
    <w:rPr>
      <w:caps/>
    </w:rPr>
  </w:style>
  <w:style w:type="paragraph" w:customStyle="1" w:styleId="GWCopiesTo">
    <w:name w:val="GW CopiesTo"/>
    <w:basedOn w:val="Normal"/>
    <w:rsid w:val="00F60A67"/>
    <w:pPr>
      <w:spacing w:before="480"/>
      <w:ind w:left="720" w:hanging="720"/>
    </w:pPr>
  </w:style>
  <w:style w:type="paragraph" w:customStyle="1" w:styleId="GWTFW">
    <w:name w:val="GW T/F/W"/>
    <w:basedOn w:val="Normal"/>
    <w:rsid w:val="00BD67DD"/>
    <w:pPr>
      <w:framePr w:w="1894" w:hSpace="181" w:wrap="around" w:vAnchor="page" w:hAnchor="page" w:x="9181" w:y="2717" w:anchorLock="1"/>
      <w:tabs>
        <w:tab w:val="left" w:pos="284"/>
      </w:tabs>
      <w:contextualSpacing/>
      <w:jc w:val="right"/>
    </w:pPr>
    <w:rPr>
      <w:noProof/>
      <w:sz w:val="18"/>
    </w:rPr>
  </w:style>
  <w:style w:type="paragraph" w:customStyle="1" w:styleId="GWLegalinfo">
    <w:name w:val="GW Legal info"/>
    <w:basedOn w:val="GWTFW"/>
    <w:rsid w:val="0014253F"/>
    <w:pPr>
      <w:framePr w:h="2415" w:hRule="exact" w:wrap="around" w:x="9158" w:y="2666"/>
    </w:pPr>
  </w:style>
  <w:style w:type="paragraph" w:customStyle="1" w:styleId="GWOutlineA1">
    <w:name w:val="GW Outline A 1"/>
    <w:basedOn w:val="Normal"/>
    <w:next w:val="Normal"/>
    <w:qFormat/>
    <w:rsid w:val="00BD67DD"/>
    <w:pPr>
      <w:keepNext/>
      <w:numPr>
        <w:numId w:val="9"/>
      </w:numPr>
      <w:spacing w:before="120" w:after="60"/>
    </w:pPr>
    <w:rPr>
      <w:b/>
      <w:sz w:val="28"/>
    </w:rPr>
  </w:style>
  <w:style w:type="paragraph" w:customStyle="1" w:styleId="GWOutlineA2">
    <w:name w:val="GW Outline A 2"/>
    <w:basedOn w:val="Normal"/>
    <w:next w:val="Normal"/>
    <w:qFormat/>
    <w:rsid w:val="00BD67DD"/>
    <w:pPr>
      <w:keepNext/>
      <w:numPr>
        <w:ilvl w:val="1"/>
        <w:numId w:val="9"/>
      </w:numPr>
      <w:spacing w:before="120" w:after="60"/>
      <w:jc w:val="both"/>
    </w:pPr>
    <w:rPr>
      <w:b/>
    </w:rPr>
  </w:style>
  <w:style w:type="paragraph" w:customStyle="1" w:styleId="GWOutlineA3">
    <w:name w:val="GW Outline A 3"/>
    <w:basedOn w:val="GWOutlineA1"/>
    <w:qFormat/>
    <w:rsid w:val="00F60A67"/>
    <w:pPr>
      <w:keepNext w:val="0"/>
      <w:numPr>
        <w:ilvl w:val="2"/>
      </w:numPr>
    </w:pPr>
    <w:rPr>
      <w:b w:val="0"/>
      <w:sz w:val="24"/>
      <w:szCs w:val="24"/>
    </w:rPr>
  </w:style>
  <w:style w:type="paragraph" w:customStyle="1" w:styleId="GWOutlineA4">
    <w:name w:val="GW Outline A 4"/>
    <w:basedOn w:val="GWOutlineA3"/>
    <w:qFormat/>
    <w:rsid w:val="00F60A67"/>
    <w:pPr>
      <w:numPr>
        <w:ilvl w:val="3"/>
      </w:numPr>
    </w:pPr>
  </w:style>
  <w:style w:type="paragraph" w:customStyle="1" w:styleId="GWOutlineA5">
    <w:name w:val="GW Outline A 5"/>
    <w:basedOn w:val="GWOutlineA4"/>
    <w:qFormat/>
    <w:rsid w:val="00F60A67"/>
    <w:pPr>
      <w:numPr>
        <w:ilvl w:val="4"/>
      </w:numPr>
    </w:pPr>
  </w:style>
  <w:style w:type="paragraph" w:customStyle="1" w:styleId="GWOutlineB1">
    <w:name w:val="GW Outline B 1"/>
    <w:basedOn w:val="BodyText"/>
    <w:qFormat/>
    <w:rsid w:val="00F60A67"/>
    <w:pPr>
      <w:numPr>
        <w:numId w:val="10"/>
      </w:numPr>
    </w:pPr>
  </w:style>
  <w:style w:type="paragraph" w:customStyle="1" w:styleId="GWOutlineB2">
    <w:name w:val="GW Outline B 2"/>
    <w:basedOn w:val="GWOutlineB1"/>
    <w:next w:val="BodyText"/>
    <w:qFormat/>
    <w:rsid w:val="00F60A67"/>
    <w:pPr>
      <w:numPr>
        <w:ilvl w:val="1"/>
      </w:numPr>
    </w:pPr>
  </w:style>
  <w:style w:type="paragraph" w:customStyle="1" w:styleId="GWOutlineB3">
    <w:name w:val="GW Outline B 3"/>
    <w:basedOn w:val="GWOutlineB1"/>
    <w:qFormat/>
    <w:rsid w:val="00F60A67"/>
    <w:pPr>
      <w:numPr>
        <w:ilvl w:val="2"/>
      </w:numPr>
    </w:pPr>
  </w:style>
  <w:style w:type="paragraph" w:customStyle="1" w:styleId="GWOutlineB4">
    <w:name w:val="GW Outline B 4"/>
    <w:basedOn w:val="GWOutlineB3"/>
    <w:qFormat/>
    <w:rsid w:val="00F60A67"/>
    <w:pPr>
      <w:numPr>
        <w:ilvl w:val="3"/>
      </w:numPr>
    </w:pPr>
  </w:style>
  <w:style w:type="paragraph" w:customStyle="1" w:styleId="GWOutlineB5">
    <w:name w:val="GW Outline B 5"/>
    <w:basedOn w:val="GWOutlineB4"/>
    <w:qFormat/>
    <w:rsid w:val="00F60A67"/>
    <w:pPr>
      <w:numPr>
        <w:ilvl w:val="4"/>
      </w:numPr>
    </w:pPr>
  </w:style>
  <w:style w:type="paragraph" w:customStyle="1" w:styleId="GWOutlineC1">
    <w:name w:val="GW Outline C 1"/>
    <w:basedOn w:val="BodyText"/>
    <w:qFormat/>
    <w:rsid w:val="007663E1"/>
    <w:pPr>
      <w:numPr>
        <w:numId w:val="11"/>
      </w:numPr>
    </w:pPr>
  </w:style>
  <w:style w:type="paragraph" w:customStyle="1" w:styleId="GWOutlineC2">
    <w:name w:val="GW Outline C 2"/>
    <w:basedOn w:val="GWOutlineC1"/>
    <w:qFormat/>
    <w:rsid w:val="007663E1"/>
    <w:pPr>
      <w:numPr>
        <w:ilvl w:val="1"/>
      </w:numPr>
    </w:pPr>
  </w:style>
  <w:style w:type="paragraph" w:customStyle="1" w:styleId="GWSignOffBlock">
    <w:name w:val="GW Sign Off Block"/>
    <w:basedOn w:val="Normal"/>
    <w:rsid w:val="00F60A67"/>
  </w:style>
  <w:style w:type="paragraph" w:customStyle="1" w:styleId="GWSubject">
    <w:name w:val="GW Subject"/>
    <w:basedOn w:val="BodyText"/>
    <w:rsid w:val="008C636E"/>
    <w:rPr>
      <w:b/>
      <w:sz w:val="32"/>
    </w:rPr>
  </w:style>
  <w:style w:type="paragraph" w:customStyle="1" w:styleId="GWTableCaption">
    <w:name w:val="GW Table Caption"/>
    <w:basedOn w:val="GWBaseHeadings"/>
    <w:next w:val="BodyText"/>
    <w:qFormat/>
    <w:rsid w:val="00BD67DD"/>
    <w:pPr>
      <w:keepNext w:val="0"/>
      <w:spacing w:after="227"/>
    </w:pPr>
    <w:rPr>
      <w:sz w:val="16"/>
    </w:rPr>
  </w:style>
  <w:style w:type="paragraph" w:customStyle="1" w:styleId="GWTableHeader">
    <w:name w:val="GW Table Header"/>
    <w:basedOn w:val="GWBaseHeadings"/>
    <w:next w:val="BodyText"/>
    <w:qFormat/>
    <w:rsid w:val="00BD67DD"/>
    <w:pPr>
      <w:spacing w:before="113" w:after="113"/>
    </w:pPr>
    <w:rPr>
      <w:b/>
    </w:rPr>
  </w:style>
  <w:style w:type="paragraph" w:customStyle="1" w:styleId="GWTableText">
    <w:name w:val="GW Table Text"/>
    <w:basedOn w:val="BodyText"/>
    <w:qFormat/>
    <w:rsid w:val="00BD67DD"/>
    <w:pPr>
      <w:spacing w:before="60" w:after="60"/>
    </w:pPr>
    <w:rPr>
      <w:szCs w:val="24"/>
    </w:rPr>
  </w:style>
  <w:style w:type="paragraph" w:customStyle="1" w:styleId="GWTableNumeric">
    <w:name w:val="GW Table Numeric"/>
    <w:basedOn w:val="GWTableText"/>
    <w:qFormat/>
    <w:rsid w:val="00BD67DD"/>
    <w:pPr>
      <w:jc w:val="right"/>
    </w:pPr>
  </w:style>
  <w:style w:type="paragraph" w:customStyle="1" w:styleId="GWTitle">
    <w:name w:val="GW Title"/>
    <w:basedOn w:val="GWBaseHeadings"/>
    <w:next w:val="BodyText"/>
    <w:rsid w:val="00F60A67"/>
    <w:pPr>
      <w:spacing w:after="227"/>
    </w:pPr>
    <w:rPr>
      <w:b/>
      <w:sz w:val="32"/>
    </w:rPr>
  </w:style>
  <w:style w:type="character" w:customStyle="1" w:styleId="Heading4Char">
    <w:name w:val="Heading 4 Char"/>
    <w:basedOn w:val="DefaultParagraphFont"/>
    <w:link w:val="Heading4"/>
    <w:rsid w:val="00BD67DD"/>
    <w:rPr>
      <w:rFonts w:ascii="Calibri" w:hAnsi="Calibri"/>
      <w:sz w:val="26"/>
      <w:lang w:eastAsia="en-GB"/>
    </w:rPr>
  </w:style>
  <w:style w:type="character" w:customStyle="1" w:styleId="Heading5Char">
    <w:name w:val="Heading 5 Char"/>
    <w:basedOn w:val="DefaultParagraphFont"/>
    <w:link w:val="Heading5"/>
    <w:rsid w:val="00BD67DD"/>
    <w:rPr>
      <w:rFonts w:ascii="Calibri" w:hAnsi="Calibri"/>
      <w:i/>
      <w:sz w:val="26"/>
      <w:lang w:eastAsia="en-GB"/>
    </w:rPr>
  </w:style>
  <w:style w:type="character" w:customStyle="1" w:styleId="Heading6Char">
    <w:name w:val="Heading 6 Char"/>
    <w:basedOn w:val="DefaultParagraphFont"/>
    <w:link w:val="Heading6"/>
    <w:rsid w:val="00F60A67"/>
    <w:rPr>
      <w:sz w:val="24"/>
      <w:lang w:eastAsia="en-GB"/>
    </w:rPr>
  </w:style>
  <w:style w:type="character" w:customStyle="1" w:styleId="Heading7Char">
    <w:name w:val="Heading 7 Char"/>
    <w:basedOn w:val="DefaultParagraphFont"/>
    <w:link w:val="Heading7"/>
    <w:rsid w:val="00F60A67"/>
    <w:rPr>
      <w:sz w:val="24"/>
      <w:lang w:eastAsia="en-GB"/>
    </w:rPr>
  </w:style>
  <w:style w:type="character" w:customStyle="1" w:styleId="Heading8Char">
    <w:name w:val="Heading 8 Char"/>
    <w:basedOn w:val="DefaultParagraphFont"/>
    <w:link w:val="Heading8"/>
    <w:rsid w:val="00F60A67"/>
    <w:rPr>
      <w:sz w:val="24"/>
      <w:lang w:eastAsia="en-GB"/>
    </w:rPr>
  </w:style>
  <w:style w:type="character" w:customStyle="1" w:styleId="Heading9Char">
    <w:name w:val="Heading 9 Char"/>
    <w:basedOn w:val="DefaultParagraphFont"/>
    <w:link w:val="Heading9"/>
    <w:rsid w:val="00F60A67"/>
    <w:rPr>
      <w:sz w:val="24"/>
      <w:lang w:eastAsia="en-GB"/>
    </w:rPr>
  </w:style>
  <w:style w:type="character" w:styleId="Hyperlink">
    <w:name w:val="Hyperlink"/>
    <w:basedOn w:val="DefaultParagraphFont"/>
    <w:rsid w:val="00F60A67"/>
    <w:rPr>
      <w:color w:val="0000FF"/>
      <w:u w:val="single"/>
    </w:rPr>
  </w:style>
  <w:style w:type="character" w:styleId="PageNumber">
    <w:name w:val="page number"/>
    <w:basedOn w:val="DefaultParagraphFont"/>
    <w:rsid w:val="00F60A67"/>
    <w:rPr>
      <w:rFonts w:ascii="Arial Narrow" w:hAnsi="Arial Narrow"/>
      <w:sz w:val="16"/>
    </w:rPr>
  </w:style>
  <w:style w:type="paragraph" w:styleId="TOC1">
    <w:name w:val="toc 1"/>
    <w:basedOn w:val="Normal"/>
    <w:semiHidden/>
    <w:rsid w:val="00F60A67"/>
    <w:pPr>
      <w:ind w:left="851"/>
    </w:pPr>
    <w:rPr>
      <w:sz w:val="22"/>
    </w:rPr>
  </w:style>
  <w:style w:type="paragraph" w:styleId="TOC2">
    <w:name w:val="toc 2"/>
    <w:basedOn w:val="Normal"/>
    <w:semiHidden/>
    <w:rsid w:val="00F60A67"/>
    <w:pPr>
      <w:ind w:left="1701"/>
    </w:pPr>
    <w:rPr>
      <w:sz w:val="22"/>
    </w:rPr>
  </w:style>
  <w:style w:type="paragraph" w:styleId="TOC3">
    <w:name w:val="toc 3"/>
    <w:basedOn w:val="Normal"/>
    <w:semiHidden/>
    <w:rsid w:val="00F60A67"/>
    <w:pPr>
      <w:ind w:left="2552"/>
    </w:pPr>
    <w:rPr>
      <w:sz w:val="22"/>
    </w:rPr>
  </w:style>
  <w:style w:type="paragraph" w:customStyle="1" w:styleId="zDear">
    <w:name w:val="z_Dear"/>
    <w:basedOn w:val="BodyText"/>
    <w:rsid w:val="00F60A67"/>
  </w:style>
  <w:style w:type="paragraph" w:customStyle="1" w:styleId="zSignoff">
    <w:name w:val="z_Sign off"/>
    <w:basedOn w:val="Normal"/>
    <w:rsid w:val="00F60A67"/>
    <w:pPr>
      <w:keepNext/>
      <w:spacing w:before="480"/>
    </w:pPr>
  </w:style>
  <w:style w:type="table" w:styleId="TableGrid">
    <w:name w:val="Table Grid"/>
    <w:basedOn w:val="TableNormal"/>
    <w:rsid w:val="006D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B9E"/>
    <w:rPr>
      <w:color w:val="808080"/>
    </w:rPr>
  </w:style>
  <w:style w:type="paragraph" w:styleId="Subtitle">
    <w:name w:val="Subtitle"/>
    <w:basedOn w:val="Normal"/>
    <w:next w:val="Normal"/>
    <w:link w:val="SubtitleChar"/>
    <w:semiHidden/>
    <w:qFormat/>
    <w:rsid w:val="00A1009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semiHidden/>
    <w:rsid w:val="00A1009A"/>
    <w:rPr>
      <w:rFonts w:ascii="Aptos" w:eastAsiaTheme="minorEastAsia" w:hAnsi="Aptos" w:cstheme="minorBidi"/>
      <w:color w:val="5A5A5A" w:themeColor="text1" w:themeTint="A5"/>
      <w:spacing w:val="15"/>
      <w:sz w:val="22"/>
      <w:szCs w:val="22"/>
      <w:lang w:eastAsia="en-GB"/>
    </w:rPr>
  </w:style>
  <w:style w:type="character" w:styleId="Strong">
    <w:name w:val="Strong"/>
    <w:basedOn w:val="DefaultParagraphFont"/>
    <w:uiPriority w:val="22"/>
    <w:qFormat/>
    <w:rsid w:val="003006BF"/>
    <w:rPr>
      <w:b/>
      <w:bCs/>
    </w:rPr>
  </w:style>
  <w:style w:type="character" w:styleId="Emphasis">
    <w:name w:val="Emphasis"/>
    <w:basedOn w:val="DefaultParagraphFont"/>
    <w:uiPriority w:val="20"/>
    <w:qFormat/>
    <w:rsid w:val="003D18E0"/>
    <w:rPr>
      <w:i/>
      <w:iCs/>
    </w:rPr>
  </w:style>
  <w:style w:type="character" w:customStyle="1" w:styleId="GWPageName">
    <w:name w:val="GW Page Name"/>
    <w:basedOn w:val="DefaultParagraphFont"/>
    <w:semiHidden/>
    <w:rsid w:val="007E0043"/>
    <w:rPr>
      <w:rFonts w:ascii="Aptos" w:hAnsi="Aptos"/>
      <w:b/>
      <w:sz w:val="28"/>
    </w:rPr>
  </w:style>
  <w:style w:type="character" w:styleId="FootnoteReference">
    <w:name w:val="footnote reference"/>
    <w:basedOn w:val="FootnoteTextChar"/>
    <w:uiPriority w:val="99"/>
    <w:semiHidden/>
    <w:rsid w:val="007E0043"/>
    <w:rPr>
      <w:rFonts w:ascii="Arial" w:hAnsi="Arial"/>
      <w:color w:val="54534C"/>
      <w:sz w:val="16"/>
      <w:szCs w:val="16"/>
      <w:lang w:val="en-US" w:eastAsia="x-none" w:bidi="ar-SA"/>
    </w:rPr>
  </w:style>
  <w:style w:type="paragraph" w:customStyle="1" w:styleId="GWFiller">
    <w:name w:val="GW Filler"/>
    <w:semiHidden/>
    <w:rsid w:val="007E0043"/>
    <w:pPr>
      <w:spacing w:after="420"/>
    </w:pPr>
    <w:rPr>
      <w:rFonts w:ascii="Aptos" w:hAnsi="Aptos"/>
      <w:noProof/>
      <w:color w:val="FFFFFF"/>
      <w:sz w:val="2"/>
      <w:lang w:val="en-GB" w:eastAsia="en-GB"/>
    </w:rPr>
  </w:style>
  <w:style w:type="paragraph" w:styleId="ListParagraph">
    <w:name w:val="List Paragraph"/>
    <w:basedOn w:val="Normal"/>
    <w:uiPriority w:val="34"/>
    <w:qFormat/>
    <w:rsid w:val="007E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veyoursay.gw.govt.nz/regional-public-transport-plan-2025-2035-consultation" TargetMode="External"/><Relationship Id="rId18" Type="http://schemas.openxmlformats.org/officeDocument/2006/relationships/hyperlink" Target="https://www.gw.govt.nz/environment/%20freshwater/local-water-done-wel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w.govt.nz/document/22736/2024-revenue-and-financing-policy/" TargetMode="External"/><Relationship Id="rId7" Type="http://schemas.openxmlformats.org/officeDocument/2006/relationships/styles" Target="styles.xml"/><Relationship Id="rId12" Type="http://schemas.openxmlformats.org/officeDocument/2006/relationships/hyperlink" Target="https://www.gw.govt.nz/2025-26-annual-plan" TargetMode="External"/><Relationship Id="rId17" Type="http://schemas.openxmlformats.org/officeDocument/2006/relationships/hyperlink" Target="https://haveyoursay.gw.govt.nz/regional-public-transport-plan-2025-2035-consultation" TargetMode="External"/><Relationship Id="rId25" Type="http://schemas.openxmlformats.org/officeDocument/2006/relationships/hyperlink" Target="https://www.gw.govt.nz/environment/freshwater/%20local-water-done-well/" TargetMode="External"/><Relationship Id="rId2" Type="http://schemas.openxmlformats.org/officeDocument/2006/relationships/customXml" Target="../customXml/item2.xml"/><Relationship Id="rId16" Type="http://schemas.openxmlformats.org/officeDocument/2006/relationships/hyperlink" Target="https://www.gw.govt.nz/2025-26-annual-plan" TargetMode="External"/><Relationship Id="rId20" Type="http://schemas.openxmlformats.org/officeDocument/2006/relationships/hyperlink" Target="https://www.gw.govt.nz/2025-26-annual-pla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w.govt.nz/your-region/your-rates/remission-and-postponement-policie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tp.gw.govt.nz/supporting-strategies-and-policies/" TargetMode="External"/><Relationship Id="rId23" Type="http://schemas.openxmlformats.org/officeDocument/2006/relationships/hyperlink" Target="https://www.gw.govt.nz/your-region/your-rate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rates.gw.govt.n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w.govt.nz/environment/freshwater/%20local-water-done-well/" TargetMode="External"/><Relationship Id="rId22" Type="http://schemas.openxmlformats.org/officeDocument/2006/relationships/hyperlink" Target="https://rates.gw.govt.nz/"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reaterwellington.sharepoint.com/sites/GWRCAssets/Templates/Corporate/Formal%20Letter.dotx" TargetMode="External"/></Relationships>
</file>

<file path=word/theme/theme1.xml><?xml version="1.0" encoding="utf-8"?>
<a:theme xmlns:a="http://schemas.openxmlformats.org/drawingml/2006/main" name="Office Theme">
  <a:themeElements>
    <a:clrScheme name="GW Colours">
      <a:dk1>
        <a:sysClr val="windowText" lastClr="000000"/>
      </a:dk1>
      <a:lt1>
        <a:sysClr val="window" lastClr="FFFFFF"/>
      </a:lt1>
      <a:dk2>
        <a:srgbClr val="174A5B"/>
      </a:dk2>
      <a:lt2>
        <a:srgbClr val="FFFFFF"/>
      </a:lt2>
      <a:accent1>
        <a:srgbClr val="174A5B"/>
      </a:accent1>
      <a:accent2>
        <a:srgbClr val="E73C3E"/>
      </a:accent2>
      <a:accent3>
        <a:srgbClr val="A9C23E"/>
      </a:accent3>
      <a:accent4>
        <a:srgbClr val="FDCE07"/>
      </a:accent4>
      <a:accent5>
        <a:srgbClr val="00BAB2"/>
      </a:accent5>
      <a:accent6>
        <a:srgbClr val="174A5B"/>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198" ma:contentTypeDescription="Create a new document." ma:contentTypeScope="" ma:versionID="d9f63b07370ba9a9f317f61ac0695eef">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2fa324c8088d6b468e4f18a15c7eab37"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SFFolderBreadcrumb" minOccurs="0"/>
                <xsd:element ref="ns8:SFFolderName" minOccurs="0"/>
                <xsd:element ref="ns8:SFItemID" minOccurs="0"/>
                <xsd:element ref="ns8:SFReference" minOccurs="0"/>
                <xsd:element ref="ns8:SFVersion" minOccurs="0"/>
                <xsd:element ref="ns8:To" minOccurs="0"/>
                <xsd:element ref="ns1:_vti_ItemDeclaredRecord" minOccurs="0"/>
                <xsd:element ref="ns1:_vti_ItemHoldRecordStatus" minOccurs="0"/>
                <xsd:element ref="ns8:Case" minOccurs="0"/>
                <xsd:element ref="ns8:KnowHowType" minOccurs="0"/>
                <xsd:element ref="ns8:Subactivity"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ServiceLocation" minOccurs="0"/>
                <xsd:element ref="ns8:MediaServiceObjectDetectorVersions" minOccurs="0"/>
                <xsd:element ref="ns2:SharedWithUsers" minOccurs="0"/>
                <xsd:element ref="ns2:SharedWithDetails" minOccurs="0"/>
                <xsd:element ref="ns8:MediaServiceSearchProperties" minOccurs="0"/>
                <xsd:element ref="ns8: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4" nillable="true" ma:displayName="Declared Record" ma:description="" ma:hidden="true" ma:internalName="_vti_ItemDeclaredRecord" ma:readOnly="true">
      <xsd:simpleType>
        <xsd:restriction base="dms:DateTime"/>
      </xsd:simpleType>
    </xsd:element>
    <xsd:element name="_vti_ItemHoldRecordStatus" ma:index="5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3" nillable="true" ma:displayName="Taxonomy Catch All Column" ma:hidden="true" ma:list="{ea5b4411-90f5-44e7-9de3-4d15cb837ed6}"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CategoryValue" ma:index="17" nillable="true" ma:displayName="Category Value" ma:default="NA" ma:hidden="true" ma:internalName="CategoryValu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Plans Policy and Strategy" ma:hidden="true" ma:internalName="FunctionGroup" ma:readOnly="false">
      <xsd:simpleType>
        <xsd:restriction base="dms:Text">
          <xsd:maxLength value="255"/>
        </xsd:restriction>
      </xsd:simpleType>
    </xsd:element>
    <xsd:element name="Function" ma:index="20" nillable="true" ma:displayName="Function" ma:default="LGA Statutory Plan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Annual Plan"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LGA Statutory Plan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SFFolderBreadcrumb" ma:index="48" nillable="true" ma:displayName="Folder Breadcrumb" ma:hidden="true" ma:internalName="SFFolderBreadcrumb" ma:readOnly="false">
      <xsd:simpleType>
        <xsd:restriction base="dms:Text"/>
      </xsd:simpleType>
    </xsd:element>
    <xsd:element name="SFFolderName" ma:index="49" nillable="true" ma:displayName="Folder Name" ma:hidden="true" ma:internalName="SFFolderName" ma:readOnly="false">
      <xsd:simpleType>
        <xsd:restriction base="dms:Text"/>
      </xsd:simpleType>
    </xsd:element>
    <xsd:element name="SFItemID" ma:index="50" nillable="true" ma:displayName="SFItemID" ma:hidden="true" ma:internalName="SFItemID" ma:readOnly="false">
      <xsd:simpleType>
        <xsd:restriction base="dms:Text"/>
      </xsd:simpleType>
    </xsd:element>
    <xsd:element name="SFReference" ma:index="51" nillable="true" ma:displayName="Reference" ma:hidden="true" ma:internalName="SFReference" ma:readOnly="false">
      <xsd:simpleType>
        <xsd:restriction base="dms:Text"/>
      </xsd:simpleType>
    </xsd:element>
    <xsd:element name="SFVersion" ma:index="52" nillable="true" ma:displayName="SFVersion" ma:hidden="true" ma:internalName="SFVersion" ma:readOnly="false">
      <xsd:simpleType>
        <xsd:restriction base="dms:Text"/>
      </xsd:simpleType>
    </xsd:element>
    <xsd:element name="To" ma:index="53" nillable="true" ma:displayName="To" ma:internalName="To">
      <xsd:simpleType>
        <xsd:restriction base="dms:Note">
          <xsd:maxLength value="255"/>
        </xsd:restriction>
      </xsd:simpleType>
    </xsd:element>
    <xsd:element name="Case" ma:index="56"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KnowHowType" ma:index="5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8" nillable="true" ma:displayName="Subactivity" ma:format="Dropdown" ma:hidden="true" ma:internalName="Subactivity">
      <xsd:simpleType>
        <xsd:union memberTypes="dms:Text">
          <xsd:simpleType>
            <xsd:restriction base="dms:Choice">
              <xsd:enumeration value="Activity Review"/>
              <xsd:enumeration value="Adopted Annual Plan"/>
              <xsd:enumeration value="Audit"/>
              <xsd:enumeration value="Consultation Document"/>
              <xsd:enumeration value="Deliberations"/>
              <xsd:enumeration value="Draft Annual Plan"/>
              <xsd:enumeration value="Engagement"/>
              <xsd:enumeration value="Governance"/>
              <xsd:enumeration value="Process Management"/>
              <xsd:enumeration value="Public Correspondence"/>
              <xsd:enumeration value="Research and Guidance"/>
              <xsd:enumeration value="Steering Group and Project Team"/>
              <xsd:enumeration value="Submissions"/>
              <xsd:enumeration value="Supporting Information"/>
            </xsd:restriction>
          </xsd:simpleType>
        </xsd:un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7" nillable="true" ma:displayName="MediaServiceDateTaken" ma:hidden="true" ma:indexed="true" ma:internalName="MediaServiceDateTaken" ma:readOnly="true">
      <xsd:simpleType>
        <xsd:restriction base="dms:Text"/>
      </xsd:simpleType>
    </xsd:element>
    <xsd:element name="MediaServiceLocation" ma:index="68" nillable="true" ma:displayName="Location" ma:indexed="true" ma:internalName="MediaServiceLocation" ma:readOnly="true">
      <xsd:simpleType>
        <xsd:restriction base="dms:Text"/>
      </xsd:simpleType>
    </xsd:element>
    <xsd:element name="MediaServiceObjectDetectorVersions" ma:index="69" nillable="true" ma:displayName="MediaServiceObjectDetectorVersions" ma:hidden="true" ma:indexed="true" ma:internalName="MediaServiceObjectDetectorVersions" ma:readOnly="true">
      <xsd:simpleType>
        <xsd:restriction base="dms:Text"/>
      </xsd:simpleType>
    </xsd:element>
    <xsd:element name="MediaServiceSearchProperties" ma:index="72" nillable="true" ma:displayName="MediaServiceSearchProperties" ma:hidden="true" ma:internalName="MediaServiceSearchProperties" ma:readOnly="true">
      <xsd:simpleType>
        <xsd:restriction base="dms:Note"/>
      </xsd:simpleType>
    </xsd:element>
    <xsd:element name="_Flow_SignoffStatus" ma:index="7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de8b5ad-0395-4b99-8c38-329811f9101f">LGAPL-1259089335-7567</_dlc_DocId>
    <_dlc_DocIdUrl xmlns="2de8b5ad-0395-4b99-8c38-329811f9101f">
      <Url>https://greaterwellington.sharepoint.com/sites/ws-lgapl/_layouts/15/DocIdRedir.aspx?ID=LGAPL-1259089335-7567</Url>
      <Description>LGAPL-1259089335-7567</Description>
    </_dlc_DocIdUrl>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Annual Plan</Activity>
    <AggregationStatus xmlns="4f9c820c-e7e2-444d-97ee-45f2b3485c1d">Normal</AggregationStatus>
    <SFFolderBreadcrumb xmlns="64ade3b3-ff94-4a87-8800-d92e0c09ba03" xsi:nil="true"/>
    <CategoryValue xmlns="4f9c820c-e7e2-444d-97ee-45f2b3485c1d">NA</CategoryValue>
    <PRADate2 xmlns="4f9c820c-e7e2-444d-97ee-45f2b3485c1d" xsi:nil="true"/>
    <zLegacyJSON xmlns="e5a7084f-8549-410e-a7ff-e0f6a67a54a6" xsi:nil="true"/>
    <SFFolderName xmlns="64ade3b3-ff94-4a87-8800-d92e0c09ba03" xsi:nil="true"/>
    <Subactivity xmlns="64ade3b3-ff94-4a87-8800-d92e0c09ba03">Annual Plan engagement documents</Subactivity>
    <PRAText1 xmlns="4f9c820c-e7e2-444d-97ee-45f2b3485c1d" xsi:nil="true"/>
    <PRAText4 xmlns="4f9c820c-e7e2-444d-97ee-45f2b3485c1d" xsi:nil="true"/>
    <Level3 xmlns="c91a514c-9034-4fa3-897a-8352025b26ed" xsi:nil="true"/>
    <CC xmlns="e5a7084f-8549-410e-a7ff-e0f6a67a54a6" xsi:nil="true"/>
    <SFReference xmlns="64ade3b3-ff94-4a87-8800-d92e0c09ba03" xsi:nil="true"/>
    <TaxCatchAll xmlns="2de8b5ad-0395-4b99-8c38-329811f9101f" xsi:nil="true"/>
    <Team xmlns="c91a514c-9034-4fa3-897a-8352025b26ed">LGA Statutory Plans</Team>
    <Project xmlns="4f9c820c-e7e2-444d-97ee-45f2b3485c1d">NA</Project>
    <SFVersion xmlns="64ade3b3-ff94-4a87-8800-d92e0c09ba03" xsi:nil="true"/>
    <SFItemID xmlns="64ade3b3-ff94-4a87-8800-d92e0c09ba03" xsi:nil="true"/>
    <FunctionGroup xmlns="4f9c820c-e7e2-444d-97ee-45f2b3485c1d">Plans Policy and Strategy</FunctionGroup>
    <Function xmlns="4f9c820c-e7e2-444d-97ee-45f2b3485c1d">LGA Statutory Plans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To xmlns="64ade3b3-ff94-4a87-8800-d92e0c09ba03" xsi:nil="true"/>
    <Case xmlns="64ade3b3-ff94-4a87-8800-d92e0c09ba03">Annual Plan - 2025-26</Cas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lcf76f155ced4ddcb4097134ff3c332f xmlns="64ade3b3-ff94-4a87-8800-d92e0c09ba03">
      <Terms xmlns="http://schemas.microsoft.com/office/infopath/2007/PartnerControls"/>
    </lcf76f155ced4ddcb4097134ff3c332f>
    <PRAText2 xmlns="4f9c820c-e7e2-444d-97ee-45f2b3485c1d" xsi:nil="true"/>
    <zLegacy xmlns="e5a7084f-8549-410e-a7ff-e0f6a67a54a6" xsi:nil="true"/>
    <SetLabel xmlns="e5a7084f-8549-410e-a7ff-e0f6a67a54a6">RETAIN</SetLabel>
    <_Flow_SignoffStatus xmlns="64ade3b3-ff94-4a87-8800-d92e0c09ba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0ECED-94E9-47CD-826F-F3A5D33C7F42}">
  <ds:schemaRefs>
    <ds:schemaRef ds:uri="http://schemas.microsoft.com/sharepoint/events"/>
  </ds:schemaRefs>
</ds:datastoreItem>
</file>

<file path=customXml/itemProps2.xml><?xml version="1.0" encoding="utf-8"?>
<ds:datastoreItem xmlns:ds="http://schemas.openxmlformats.org/officeDocument/2006/customXml" ds:itemID="{97A661BA-ED3F-44FF-8A03-54D4F713F988}"/>
</file>

<file path=customXml/itemProps3.xml><?xml version="1.0" encoding="utf-8"?>
<ds:datastoreItem xmlns:ds="http://schemas.openxmlformats.org/officeDocument/2006/customXml" ds:itemID="{5A23CF9F-9532-4789-9157-2075CCA5B7C9}">
  <ds:schemaRefs>
    <ds:schemaRef ds:uri="http://schemas.microsoft.com/office/2006/metadata/properties"/>
    <ds:schemaRef ds:uri="http://schemas.microsoft.com/office/infopath/2007/PartnerControls"/>
    <ds:schemaRef ds:uri="193ffda3-c91b-4492-b762-9a3337a3f0b5"/>
  </ds:schemaRefs>
</ds:datastoreItem>
</file>

<file path=customXml/itemProps4.xml><?xml version="1.0" encoding="utf-8"?>
<ds:datastoreItem xmlns:ds="http://schemas.openxmlformats.org/officeDocument/2006/customXml" ds:itemID="{70FADCAD-8B1B-4BA2-A2B6-C747C39D409D}">
  <ds:schemaRefs>
    <ds:schemaRef ds:uri="http://schemas.openxmlformats.org/officeDocument/2006/bibliography"/>
  </ds:schemaRefs>
</ds:datastoreItem>
</file>

<file path=customXml/itemProps5.xml><?xml version="1.0" encoding="utf-8"?>
<ds:datastoreItem xmlns:ds="http://schemas.openxmlformats.org/officeDocument/2006/customXml" ds:itemID="{CC6E0A78-BA85-4F1C-931E-5A5C45A7E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Formal%20Letter.dotx</Template>
  <TotalTime>6</TotalTime>
  <Pages>10</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Underhill</dc:creator>
  <cp:lastModifiedBy>Christina Underhill</cp:lastModifiedBy>
  <cp:revision>3</cp:revision>
  <cp:lastPrinted>2025-03-02T20:33:00Z</cp:lastPrinted>
  <dcterms:created xsi:type="dcterms:W3CDTF">2025-03-02T20:27:00Z</dcterms:created>
  <dcterms:modified xsi:type="dcterms:W3CDTF">2025-03-02T20:34:00Z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_dlc_DocIdItemGuid">
    <vt:lpwstr>f69d0d85-dea1-4f22-9f16-507e5de6211a</vt:lpwstr>
  </property>
  <property fmtid="{D5CDD505-2E9C-101B-9397-08002B2CF9AE}" pid="4" name="MediaServiceImageTags">
    <vt:lpwstr/>
  </property>
</Properties>
</file>